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9" w:rsidRPr="004B09C5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B09C5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4B09C5">
        <w:rPr>
          <w:rFonts w:ascii="PT Astra Serif" w:hAnsi="PT Astra Serif" w:cs="Times New Roman"/>
          <w:b/>
          <w:sz w:val="24"/>
          <w:szCs w:val="24"/>
        </w:rPr>
        <w:t xml:space="preserve">участия в конкурсе в кадровый резерв </w:t>
      </w:r>
      <w:r w:rsidR="004B09C5" w:rsidRPr="004B09C5">
        <w:rPr>
          <w:rFonts w:ascii="PT Astra Serif" w:hAnsi="PT Astra Serif" w:cs="Times New Roman"/>
          <w:b/>
          <w:sz w:val="24"/>
          <w:szCs w:val="24"/>
        </w:rPr>
        <w:t xml:space="preserve">Министерства цифровой экономики и конкуренции </w:t>
      </w:r>
      <w:r w:rsidRPr="004B09C5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791159" w:rsidRPr="004B09C5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4B09C5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B09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4B09C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B09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4B09C5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B09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EE0BA2" w:rsidRPr="004B09C5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9C5" w:rsidRPr="004B09C5" w:rsidRDefault="004B09C5" w:rsidP="004B0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09C5">
              <w:rPr>
                <w:rFonts w:ascii="PT Astra Serif" w:hAnsi="PT Astra Serif"/>
                <w:sz w:val="24"/>
                <w:szCs w:val="24"/>
              </w:rPr>
              <w:t>В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едущ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ая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групп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а должностей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в области регулирования экономики, регионального развития, деятельности хозяйствующих субъектов и предпринимательства по виду профессиональной служебной деятельности «Регулирование контрактной системы».</w:t>
            </w:r>
          </w:p>
          <w:p w:rsidR="00EE0BA2" w:rsidRPr="004B09C5" w:rsidRDefault="00EE0BA2" w:rsidP="005A42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43F" w:rsidRPr="004B09C5" w:rsidRDefault="00A9243F" w:rsidP="00A924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09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A9243F" w:rsidRPr="004B09C5" w:rsidRDefault="00A9243F" w:rsidP="00A924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09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9243F" w:rsidRPr="004B09C5" w:rsidRDefault="00A9243F" w:rsidP="00A924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09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A9243F" w:rsidRPr="004B09C5" w:rsidRDefault="00A9243F" w:rsidP="00A924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09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A9243F" w:rsidRPr="004B09C5" w:rsidRDefault="00A9243F" w:rsidP="00A9243F">
            <w:pPr>
              <w:tabs>
                <w:tab w:val="left" w:pos="720"/>
              </w:tabs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B09C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6927A0" w:rsidRPr="004B09C5" w:rsidRDefault="006927A0" w:rsidP="00FA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09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E679A7" w:rsidRPr="004B09C5" w:rsidRDefault="00E679A7" w:rsidP="00E679A7">
            <w:pPr>
              <w:pStyle w:val="a4"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4B09C5" w:rsidRPr="004B09C5" w:rsidRDefault="004B09C5" w:rsidP="004B09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09C5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 о гражда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н</w:t>
            </w:r>
            <w:r w:rsidRPr="004B09C5">
              <w:rPr>
                <w:rFonts w:ascii="PT Astra Serif" w:hAnsi="PT Astra Serif"/>
                <w:sz w:val="24"/>
                <w:szCs w:val="24"/>
              </w:rPr>
              <w:t>ской службе, законодательства о противодействии коррупции;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4B09C5" w:rsidRPr="004B09C5" w:rsidRDefault="004B09C5" w:rsidP="004B09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09C5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необходимых для эффективного и результативного исполнения должн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hAnsi="PT Astra Serif"/>
                <w:sz w:val="24"/>
                <w:szCs w:val="24"/>
              </w:rPr>
              <w:t>стных обязанностей (мыслить системно, планировать и рационально использ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вать служебное время, достигать результата, </w:t>
            </w:r>
            <w:proofErr w:type="spellStart"/>
            <w:r w:rsidRPr="004B09C5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4B09C5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4B09C5" w:rsidRPr="004B09C5" w:rsidRDefault="004B09C5" w:rsidP="004B09C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B09C5" w:rsidRPr="004B09C5" w:rsidRDefault="004B09C5" w:rsidP="004B09C5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val="x-none"/>
              </w:rPr>
            </w:pP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/>
              </w:rPr>
              <w:t xml:space="preserve">Наличие </w:t>
            </w:r>
            <w:r w:rsidRPr="004B09C5">
              <w:rPr>
                <w:rFonts w:ascii="PT Astra Serif" w:eastAsia="Verona" w:hAnsi="PT Astra Serif"/>
                <w:sz w:val="24"/>
                <w:szCs w:val="24"/>
                <w:lang w:val="x-none"/>
              </w:rPr>
              <w:t xml:space="preserve">профессиональных знаний </w:t>
            </w:r>
            <w:r w:rsidRPr="004B09C5">
              <w:rPr>
                <w:rFonts w:ascii="PT Astra Serif" w:hAnsi="PT Astra Serif"/>
                <w:sz w:val="24"/>
                <w:szCs w:val="24"/>
                <w:lang w:val="x-none"/>
              </w:rPr>
              <w:t>в сфере законодательства: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Федерального закона от 30.11.1994 № 51-ФЗ «Гражданский кодекс Ро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сийской Федерации (часть первая)»;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Федерального закона от 26.01.1996 № 14-ФЗ «Гражданский кодекс Ро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сийской Федерации (часть вторая)»;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Федерального закона от 05.04.2013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и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ципальных нужд»;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Федерального закона от 26.07.2006 № 135-ФЗ «О защите конкуренции»;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постановления Правительства Российской Федерации от 28.11.2013 № 1093 «О порядке подготовки и размещения в единой информационной си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теме в сфере закупок отчета об исполнении государственного (муниципальн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го) контракта и (или) о результатах отдельного этапа его исполнения»;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постановления Правительства Российской Федерации от 28.11.2013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№ 1085 «Об утверждении Правил оценки заявок, окончательных предложений участников закупки товаров, работ, услуг для обеспечения государственных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и муниципальных нужд»;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постановления Правительства Российской Федерации от 20.09.2014 № 963 «Об осуществлении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lastRenderedPageBreak/>
              <w:t>банковского сопровождения контрактов»;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постановления Правительства Российской Федерации от 02.07.2014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№ 606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«О порядке разработки типовых контрактов, типовых условий контра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к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тов, а также о случаях и условиях их применения»;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постановления Правительства Российской Федерации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от 04.02.2015 № 99 «Об установлении дополнительных требований к участникам закупки отдел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ь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ных видов товаров, работ, услуг, случаев отнесения товаров, работ, услуг к т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варам, работам, услугам, которые по причине их технической и (или) технол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гической сложности, инновационного, высокотехнологичного или специализ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и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рованного характера способны поставить, выполнить, оказать только поста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в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щики (подрядчики, исполнители), имеющие необходимый уровень квалифик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а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ции, а также документов, подтверждающих соответствие участников закупки указанным дополнительным требованиям»; постановления Правительства Российской Федерации от 05.02.2015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 постановления Правительства Российской Федерации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нования»;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постановления Правительства Российской Федерации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от 05.06.2015</w:t>
            </w:r>
            <w:r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№ 554 «О требованиях к формированию, утверждению и ведению плана-графика закупок товаров, работ, услуг для обеспечения нужд субъекта Росси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й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ской Федерации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и муниципальных нужд, а также о требованиях к форме плана-графика закупок товаров, работ, услуг»; постановления Правительства Российской Федерации от 29.10.2015 № 1168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«Об утверждении Правил размещения в единой информационной си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теме в сфере закупок планов закупок товаров, работ, услуг для обеспечения г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сударственных и муниципальных нужд, планов-графиков закупок товаров, р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а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бот, услуг для обеспечения государственных и муниципальных нужд»;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постановления Правительства Российской Федерации от 30.11.2015 № 1289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«Об ограничениях и условиях допуска происходящих из иностранных государств лекарственных препаратов, включенных в перечень жизненно нео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б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ходимых и важнейших лекарственных препаратов, для целей осуществления закупок для обеспечения государственных и муниципальных нужд»;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постановления Правительства Российской Федерации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от 23.12.2015 № 1414 «О порядке функционирования единой информационной системы в сфере закупок»;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распоряжения Правительства Российской Федерации от 21.03.2016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br/>
              <w:t>№ 471-р «О перечне товаров, работ, услуг, в случае осуществления закупок к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торых заказчик обязан проводить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lastRenderedPageBreak/>
              <w:t>аукцион в электронной форме (электронный аукцион)»;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приказа </w:t>
            </w:r>
            <w:proofErr w:type="spellStart"/>
            <w:r w:rsidRPr="004B09C5">
              <w:rPr>
                <w:rFonts w:ascii="PT Astra Serif" w:eastAsia="Verona" w:hAnsi="PT Astra Serif"/>
                <w:sz w:val="24"/>
                <w:szCs w:val="24"/>
              </w:rPr>
              <w:t>Росстандарта</w:t>
            </w:r>
            <w:proofErr w:type="spellEnd"/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от 31.01.2014 № 14-ст «О принятии и введении </w:t>
            </w:r>
            <w:r>
              <w:rPr>
                <w:rFonts w:ascii="PT Astra Serif" w:eastAsia="Verona" w:hAnsi="PT Astra Serif"/>
                <w:sz w:val="24"/>
                <w:szCs w:val="24"/>
              </w:rPr>
              <w:br/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приказ Минэкономразвития России от 25.03.2014 № 155 «Об условиях допуска товаров, происходящих из иностранных государств, для целей осущ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е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ствления закупок товаров, работ, услуг для обеспечения государственных и м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у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>ниципальных нужд»;</w:t>
            </w:r>
            <w:r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федеральных конституционных з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а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конов, федеральных законов, указов Президента Российской Федерации и п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hAnsi="PT Astra Serif"/>
                <w:sz w:val="24"/>
                <w:szCs w:val="24"/>
              </w:rPr>
              <w:t>становлений Правительства Российской Федерации, Устава Ульяновской о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б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ласти, законов Ульяновской области, договоров и соглашений Ульяновской о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б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ласти, иных нормативных правовых актов Ульяновской области, регулиру</w:t>
            </w:r>
            <w:r w:rsidRPr="004B09C5">
              <w:rPr>
                <w:rFonts w:ascii="PT Astra Serif" w:hAnsi="PT Astra Serif"/>
                <w:sz w:val="24"/>
                <w:szCs w:val="24"/>
              </w:rPr>
              <w:t>ю</w:t>
            </w:r>
            <w:r w:rsidRPr="004B09C5">
              <w:rPr>
                <w:rFonts w:ascii="PT Astra Serif" w:hAnsi="PT Astra Serif"/>
                <w:sz w:val="24"/>
                <w:szCs w:val="24"/>
              </w:rPr>
              <w:t>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о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ванных средств управления, порядка работы со служебной информацией, пр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а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вил делового этикета, основ делопроизводства;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</w:rPr>
              <w:t>порядка определение поставщика (подрядчика, исполнителя);</w:t>
            </w:r>
            <w:r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09C5">
              <w:rPr>
                <w:rFonts w:ascii="PT Astra Serif" w:hAnsi="PT Astra Serif"/>
                <w:sz w:val="24"/>
                <w:szCs w:val="24"/>
                <w:lang w:val="x-none"/>
              </w:rPr>
              <w:t>понятий: контрактная система в сфере закупок товаров, работ, услуг для обеспечения государственных и муниципальных нужд, закупка товара, работы, услуги для обеспечения государственных или муниципальных нужд, участник закупки, государственный заказчик, единая информационная система в сфере закупок.</w:t>
            </w:r>
          </w:p>
          <w:p w:rsidR="004B09C5" w:rsidRPr="004B09C5" w:rsidRDefault="004B09C5" w:rsidP="004B09C5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</w:pPr>
            <w:r w:rsidRPr="004B09C5">
              <w:rPr>
                <w:rFonts w:ascii="PT Astra Serif" w:hAnsi="PT Astra Serif"/>
                <w:bCs/>
                <w:color w:val="000000"/>
                <w:sz w:val="24"/>
                <w:szCs w:val="24"/>
                <w:lang w:val="x-none" w:eastAsia="x-none"/>
              </w:rPr>
              <w:t>Наличие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 профессиональных умений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>: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lastRenderedPageBreak/>
              <w:t xml:space="preserve">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>; организации процесса определения поставщиков (подрядчиков, исполнителей), обеспечения реализации государственной политики в сфере закупок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4B09C5" w:rsidRPr="004B09C5" w:rsidRDefault="004B09C5" w:rsidP="004B09C5">
            <w:pPr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</w:pP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Наличие функциональных знаний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>: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федеральных законов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и подзаконных нормативных правовых актов 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нужд; 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опыта реализации контрактной системы на федеральном, региональном и муниципальном уровнях; проблем и тенденций развития контрактной системы; 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закупке, документации о закупке; регламентов работы Официального сайта Единой информационной системы в сфере закупок, сайтов операторов электронных площадок, порядка работы региональной информационной системы в сфере закупок.</w:t>
            </w:r>
          </w:p>
          <w:p w:rsidR="004B09C5" w:rsidRPr="004B09C5" w:rsidRDefault="004B09C5" w:rsidP="004B09C5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Наличие функциональных умений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>: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анализа действующего законодательства в сфере закупок; выявления проблем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и тенденций при реализации контрактной системы; мониторинга </w:t>
            </w:r>
            <w:proofErr w:type="spellStart"/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правоприменения</w:t>
            </w:r>
            <w:proofErr w:type="spellEnd"/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; подготовки аналитических и методических материалов, предложений по совершенствованию контрактной системы и развитию конкуренции в сфере закупок; методологического сопровождения деятельности заказчиков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и муниципальных образований; формирования сводного прогноза объёмов продукции, закупаемой для государственных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и муниципальных нужд Ульяновской области; разработки проектов правовых актов; взаимодействия с надзорными, контрольными и правоохранительными органами; навыки анализа технико-экономических заданий заказчиков; формирования извещений о закупках и документаций о закупках; размещения информации на Официальном сайте Единой информационной системы в сфере закупок и сайтах операторов электронных площадок; работы в региональной информационной системе в сфере закупок; рассмотрения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и оценки заявок на участие в закупках; участия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br/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 xml:space="preserve">в административных и судебных процессах, составления </w:t>
            </w:r>
            <w:r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lastRenderedPageBreak/>
              <w:t>возражений, жалоб, исковых заявлений и отзывов по делам, рассматриваемым в административном и судебном порядках</w:t>
            </w:r>
            <w:r w:rsidRPr="004B09C5">
              <w:rPr>
                <w:rFonts w:ascii="PT Astra Serif" w:hAnsi="PT Astra Serif"/>
                <w:sz w:val="24"/>
                <w:szCs w:val="24"/>
                <w:lang w:val="x-none" w:eastAsia="x-none"/>
              </w:rPr>
              <w:t>.</w:t>
            </w:r>
          </w:p>
          <w:p w:rsidR="00E679A7" w:rsidRPr="004B09C5" w:rsidRDefault="00E679A7" w:rsidP="00FA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val="x-none" w:eastAsia="ru-RU"/>
              </w:rPr>
            </w:pPr>
          </w:p>
          <w:p w:rsidR="004B09C5" w:rsidRPr="004B09C5" w:rsidRDefault="00E679A7" w:rsidP="004B09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09C5">
              <w:rPr>
                <w:rFonts w:ascii="PT Astra Serif" w:hAnsi="PT Astra Serif" w:cs="Times New Roman"/>
                <w:sz w:val="24"/>
                <w:szCs w:val="24"/>
              </w:rPr>
              <w:t>Должностные обязанности:</w:t>
            </w:r>
            <w:r w:rsidR="00A9243F" w:rsidRPr="004B09C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eastAsia="Verona" w:hAnsi="PT Astra Serif"/>
                <w:sz w:val="24"/>
                <w:szCs w:val="24"/>
                <w:lang w:val="x-none"/>
              </w:rPr>
              <w:t xml:space="preserve">участвует в подготовке планов </w:t>
            </w:r>
            <w:r w:rsidR="004B09C5">
              <w:rPr>
                <w:rFonts w:ascii="PT Astra Serif" w:eastAsia="Verona" w:hAnsi="PT Astra Serif"/>
                <w:sz w:val="24"/>
                <w:szCs w:val="24"/>
                <w:lang w:val="x-none"/>
              </w:rPr>
              <w:br/>
            </w:r>
            <w:r w:rsidR="004B09C5" w:rsidRPr="004B09C5">
              <w:rPr>
                <w:rFonts w:ascii="PT Astra Serif" w:eastAsia="Verona" w:hAnsi="PT Astra Serif"/>
                <w:sz w:val="24"/>
                <w:szCs w:val="24"/>
                <w:lang w:val="x-none"/>
              </w:rPr>
              <w:t>и отчётов о работе отдела и департамента;</w:t>
            </w:r>
            <w:r w:rsidR="004B09C5" w:rsidRPr="004B09C5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анализирует и изучает технико-экономические задания, представляемые заказчиками;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готовит проекты письменных ответов заказчикам, в случае необходим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о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сти возврата технико-экономических заданий для их доработки, с соответс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т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вующим обоснованием;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формирует извещения, документацию о закупках;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обеспечивает соблюдение законодательства при определении поставщ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и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ков (подрядчиков, исполнителей) в части функций, закреплённых за органом, уполномоченным на определение поставщиков (подрядчиков, исполнителей) в соответствии с Порядком взаимодействия заказчиков с уполномоченным орг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а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ном, утверждённым постановлением Правительства Ульяновской области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от 14.04.2014 № 8/125-П «О Министерстве цифровой экономики и конкуренции Ульяновской области», а также соглашениями между Ульяновской областью и находящимися на её территории муниципальными образованиями;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обеспечивает организацию информационного обеспечения определения поставщиков (подрядчиков, исполнителей) путём размещения информации, предусмотренной законодательством о контрактной системе,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 Единой инфо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р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мационной системе, на сайтах операторов электронных площадок, в том числе во взаимодействии с ОГКУ «Центр по сопровождению закупок»;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участвует в работе комиссий по определению поставщиков;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осуществляет подготовку информационных и аналитических материалов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 сфере закупок в пределах своей компетенции;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осуществляет мониторинг основных тенденций и событий в сфере зак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у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пок,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в том числе отслеживает изменения в законодательстве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о контрактной си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с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теме;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оказывает правовую, методическую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и консультационную помощь зака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з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чикам Ульяновской области,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а также органам местного самоуправления мун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и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ципальных образований Ульяновской области по вопросам закупок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 пределах своей компетенции;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подготавливает письменные ответы физическим и юридическим лицам независимо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от организационно-правовых форм в пределах своей компетенции;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осуществляет наставничество в соответствии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с решением представителя нанимателя;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выполняет иные поручения непосредственного руков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одителя; </w:t>
            </w:r>
            <w:r w:rsidR="004B09C5" w:rsidRPr="004B09C5">
              <w:rPr>
                <w:rFonts w:ascii="PT Astra Serif" w:hAnsi="PT Astra Serif"/>
                <w:color w:val="000000"/>
                <w:sz w:val="24"/>
                <w:szCs w:val="24"/>
                <w:lang w:val="x-none" w:eastAsia="x-none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разговоров.</w:t>
            </w:r>
          </w:p>
          <w:p w:rsidR="004B09C5" w:rsidRPr="004B09C5" w:rsidRDefault="00E679A7" w:rsidP="004B09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09C5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4B09C5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4B09C5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4B09C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показателям: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а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ждан и организаций;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  <w:r w:rsidR="004B09C5">
              <w:rPr>
                <w:rFonts w:ascii="PT Astra Serif" w:hAnsi="PT Astra Serif"/>
                <w:sz w:val="24"/>
                <w:szCs w:val="24"/>
              </w:rPr>
              <w:br/>
            </w:r>
            <w:bookmarkStart w:id="0" w:name="_GoBack"/>
            <w:bookmarkEnd w:id="0"/>
            <w:r w:rsidR="004B09C5" w:rsidRPr="004B09C5">
              <w:rPr>
                <w:rFonts w:ascii="PT Astra Serif" w:hAnsi="PT Astra Serif"/>
                <w:sz w:val="24"/>
                <w:szCs w:val="24"/>
              </w:rPr>
              <w:t>с установленными требованиями, полное и логичное изложение материала, гр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а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мотное составление документа, отсутствие стилистических и грамматических ошибок);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соблюдение служебного распорядка;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в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ных правовых актов, широта профессионального кругозора, умение работать с документами);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н</w:t>
            </w:r>
            <w:r w:rsidR="004B09C5" w:rsidRPr="004B09C5">
              <w:rPr>
                <w:rFonts w:ascii="PT Astra Serif" w:hAnsi="PT Astra Serif"/>
                <w:sz w:val="24"/>
                <w:szCs w:val="24"/>
              </w:rPr>
              <w:t>ных заданий, умение рационально использовать рабочее время, расставлять приоритеты.</w:t>
            </w:r>
          </w:p>
          <w:p w:rsidR="00EE0BA2" w:rsidRPr="004B09C5" w:rsidRDefault="00E679A7" w:rsidP="004B09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FF3937"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</w:t>
            </w:r>
            <w:r w:rsidR="004B09C5"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6131</w:t>
            </w:r>
            <w:r w:rsidR="00A9243F"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4B09C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/мес. </w:t>
            </w:r>
          </w:p>
        </w:tc>
      </w:tr>
    </w:tbl>
    <w:p w:rsidR="00EF50D2" w:rsidRPr="004B09C5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50D2" w:rsidRPr="004B09C5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123C" w:rsidRPr="004B09C5" w:rsidRDefault="0034123C" w:rsidP="0034123C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резервируемой группе должностей гражданской службы, их соответствия квалификационным требованиям к этой группе. Конкурс включает в себя тестирование, ситуационное – интервью, собеседование, психодиагностическое исследование.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4B09C5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4B09C5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4B09C5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4B09C5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4B09C5">
        <w:rPr>
          <w:rFonts w:ascii="PT Astra Serif" w:hAnsi="PT Astra Serif"/>
        </w:rPr>
        <w:t>- ситуационное интервью (максимальный балл – 4 балла);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4B09C5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4B09C5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4B09C5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34123C" w:rsidRPr="004B09C5" w:rsidRDefault="0034123C" w:rsidP="0034123C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4B09C5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2. собственноручно заполненную и подписанную анкету, с приложением фотографии;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4B09C5">
        <w:rPr>
          <w:rFonts w:ascii="PT Astra Serif" w:hAnsi="PT Astra Serif" w:cs="Times New Roman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hAnsi="PT Astra Serif" w:cs="Times New Roman"/>
          <w:sz w:val="24"/>
          <w:szCs w:val="24"/>
        </w:rPr>
        <w:t>10.</w:t>
      </w:r>
      <w:r w:rsidRPr="004B09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4123C" w:rsidRPr="004B09C5" w:rsidRDefault="0034123C" w:rsidP="0034123C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4B09C5"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DD2F8F"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4B09C5"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4B09C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.2019) 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4B09C5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2 этапа конкурса – </w:t>
      </w:r>
      <w:r w:rsidR="004B09C5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05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4B09C5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.2019-</w:t>
      </w:r>
      <w:r w:rsidR="00A9243F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4B09C5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4B09C5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.2019.</w:t>
      </w:r>
    </w:p>
    <w:p w:rsidR="0034123C" w:rsidRPr="004B09C5" w:rsidRDefault="0034123C" w:rsidP="0034123C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4123C" w:rsidRPr="004B09C5" w:rsidRDefault="0034123C" w:rsidP="0034123C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4B09C5">
        <w:rPr>
          <w:rFonts w:ascii="PT Astra Serif" w:hAnsi="PT Astra Serif" w:cs="Times New Roman"/>
          <w:sz w:val="24"/>
          <w:szCs w:val="24"/>
          <w:shd w:val="clear" w:color="auto" w:fill="FFFFFF"/>
        </w:rPr>
        <w:lastRenderedPageBreak/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4B09C5">
        <w:rPr>
          <w:rFonts w:ascii="PT Astra Serif" w:hAnsi="PT Astra Serif" w:cs="Times New Roman"/>
          <w:sz w:val="24"/>
          <w:szCs w:val="24"/>
        </w:rPr>
        <w:t xml:space="preserve">http://www.kadr.ulgov.ru/uprkadrrezerv/28/184.html). </w:t>
      </w:r>
    </w:p>
    <w:p w:rsidR="0034123C" w:rsidRPr="004B09C5" w:rsidRDefault="0034123C" w:rsidP="0034123C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34123C" w:rsidRPr="004B09C5" w:rsidRDefault="0034123C" w:rsidP="0034123C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4B09C5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4123C" w:rsidRPr="004B09C5" w:rsidRDefault="0034123C" w:rsidP="0034123C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4123C" w:rsidRPr="004B09C5" w:rsidRDefault="0034123C" w:rsidP="0034123C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</w:t>
      </w:r>
      <w:r w:rsidR="00622C63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резервируемой группы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622C63"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34123C" w:rsidRPr="004B09C5" w:rsidRDefault="0034123C" w:rsidP="0034123C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4B09C5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4B09C5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4B09C5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34123C" w:rsidRPr="004B09C5" w:rsidRDefault="0034123C" w:rsidP="0034123C">
      <w:pPr>
        <w:rPr>
          <w:rFonts w:ascii="PT Astra Serif" w:hAnsi="PT Astra Serif"/>
          <w:sz w:val="24"/>
          <w:szCs w:val="24"/>
        </w:rPr>
      </w:pPr>
    </w:p>
    <w:sectPr w:rsidR="0034123C" w:rsidRPr="004B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033"/>
    <w:multiLevelType w:val="hybridMultilevel"/>
    <w:tmpl w:val="3EBAD51C"/>
    <w:lvl w:ilvl="0" w:tplc="B8F0529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448C"/>
    <w:rsid w:val="001269C4"/>
    <w:rsid w:val="00172C15"/>
    <w:rsid w:val="00183740"/>
    <w:rsid w:val="00184015"/>
    <w:rsid w:val="001A5B43"/>
    <w:rsid w:val="001C2654"/>
    <w:rsid w:val="001C4D43"/>
    <w:rsid w:val="002354F9"/>
    <w:rsid w:val="00243499"/>
    <w:rsid w:val="0025568B"/>
    <w:rsid w:val="002A3E9E"/>
    <w:rsid w:val="002A627F"/>
    <w:rsid w:val="002C1C8D"/>
    <w:rsid w:val="002D025D"/>
    <w:rsid w:val="00326CD6"/>
    <w:rsid w:val="0034123C"/>
    <w:rsid w:val="00343C31"/>
    <w:rsid w:val="0037225F"/>
    <w:rsid w:val="00374762"/>
    <w:rsid w:val="003F7196"/>
    <w:rsid w:val="00422DBB"/>
    <w:rsid w:val="00443F43"/>
    <w:rsid w:val="00461B0D"/>
    <w:rsid w:val="004A6DC4"/>
    <w:rsid w:val="004B09C5"/>
    <w:rsid w:val="004F683B"/>
    <w:rsid w:val="00500067"/>
    <w:rsid w:val="00500803"/>
    <w:rsid w:val="00500CBD"/>
    <w:rsid w:val="00514D21"/>
    <w:rsid w:val="0058421D"/>
    <w:rsid w:val="005A1580"/>
    <w:rsid w:val="005A421D"/>
    <w:rsid w:val="005B1C00"/>
    <w:rsid w:val="005C28A8"/>
    <w:rsid w:val="005D6095"/>
    <w:rsid w:val="005D618B"/>
    <w:rsid w:val="005F5F25"/>
    <w:rsid w:val="00601A76"/>
    <w:rsid w:val="00622C63"/>
    <w:rsid w:val="0068665C"/>
    <w:rsid w:val="00691B35"/>
    <w:rsid w:val="006927A0"/>
    <w:rsid w:val="006A64DE"/>
    <w:rsid w:val="006B0947"/>
    <w:rsid w:val="007100F8"/>
    <w:rsid w:val="00717188"/>
    <w:rsid w:val="00730D8C"/>
    <w:rsid w:val="00737B12"/>
    <w:rsid w:val="00791159"/>
    <w:rsid w:val="007A0848"/>
    <w:rsid w:val="007C7E17"/>
    <w:rsid w:val="007D28CE"/>
    <w:rsid w:val="007E2F2F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916752"/>
    <w:rsid w:val="00962948"/>
    <w:rsid w:val="00987914"/>
    <w:rsid w:val="00A41764"/>
    <w:rsid w:val="00A444F6"/>
    <w:rsid w:val="00A84C66"/>
    <w:rsid w:val="00A9243F"/>
    <w:rsid w:val="00AD3AFB"/>
    <w:rsid w:val="00AE371A"/>
    <w:rsid w:val="00B03EBD"/>
    <w:rsid w:val="00B274E5"/>
    <w:rsid w:val="00B97496"/>
    <w:rsid w:val="00BB19C4"/>
    <w:rsid w:val="00BC0DD1"/>
    <w:rsid w:val="00BE6BC5"/>
    <w:rsid w:val="00C21ECF"/>
    <w:rsid w:val="00C35D09"/>
    <w:rsid w:val="00C748AE"/>
    <w:rsid w:val="00C77A61"/>
    <w:rsid w:val="00CF3B40"/>
    <w:rsid w:val="00CF5E0A"/>
    <w:rsid w:val="00CF7164"/>
    <w:rsid w:val="00D01FE4"/>
    <w:rsid w:val="00D22B28"/>
    <w:rsid w:val="00D27EED"/>
    <w:rsid w:val="00D57863"/>
    <w:rsid w:val="00D6447C"/>
    <w:rsid w:val="00D92264"/>
    <w:rsid w:val="00DD2BC4"/>
    <w:rsid w:val="00DD2F8F"/>
    <w:rsid w:val="00E463C4"/>
    <w:rsid w:val="00E679A7"/>
    <w:rsid w:val="00E735D4"/>
    <w:rsid w:val="00EB4AF0"/>
    <w:rsid w:val="00EB57D1"/>
    <w:rsid w:val="00EB59A9"/>
    <w:rsid w:val="00ED0F86"/>
    <w:rsid w:val="00ED3C9B"/>
    <w:rsid w:val="00EE0BA2"/>
    <w:rsid w:val="00EF0B38"/>
    <w:rsid w:val="00EF50D2"/>
    <w:rsid w:val="00F41A01"/>
    <w:rsid w:val="00F53F30"/>
    <w:rsid w:val="00FA334A"/>
    <w:rsid w:val="00FC1A25"/>
    <w:rsid w:val="00FC3BF9"/>
    <w:rsid w:val="00FD0892"/>
    <w:rsid w:val="00FF017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D42C-60FA-4C31-8D22-153BA9A2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9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54</cp:revision>
  <cp:lastPrinted>2016-08-09T12:39:00Z</cp:lastPrinted>
  <dcterms:created xsi:type="dcterms:W3CDTF">2017-03-23T11:46:00Z</dcterms:created>
  <dcterms:modified xsi:type="dcterms:W3CDTF">2019-07-22T08:49:00Z</dcterms:modified>
</cp:coreProperties>
</file>