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E1" w:rsidRDefault="00205DE1">
      <w:pPr>
        <w:pStyle w:val="ConsPlusTitle"/>
        <w:jc w:val="center"/>
      </w:pPr>
      <w:r>
        <w:t>ВЕРХОВНЫЙ СУД РОССИЙСКОЙ ФЕДЕРАЦИИ</w:t>
      </w:r>
    </w:p>
    <w:p w:rsidR="00205DE1" w:rsidRDefault="00205DE1">
      <w:pPr>
        <w:pStyle w:val="ConsPlusTitle"/>
        <w:jc w:val="center"/>
      </w:pPr>
    </w:p>
    <w:p w:rsidR="00205DE1" w:rsidRDefault="00205DE1">
      <w:pPr>
        <w:pStyle w:val="ConsPlusTitle"/>
        <w:jc w:val="center"/>
      </w:pPr>
      <w:r>
        <w:t>ОПРЕДЕЛЕНИЕ</w:t>
      </w:r>
    </w:p>
    <w:p w:rsidR="00205DE1" w:rsidRDefault="00205DE1">
      <w:pPr>
        <w:pStyle w:val="ConsPlusTitle"/>
        <w:jc w:val="center"/>
      </w:pPr>
      <w:r>
        <w:t>от 18 ноября 2019 г. N 307-ЭС19-12629</w:t>
      </w:r>
    </w:p>
    <w:p w:rsidR="00205DE1" w:rsidRDefault="00205DE1">
      <w:pPr>
        <w:pStyle w:val="ConsPlusNormal"/>
        <w:ind w:firstLine="540"/>
        <w:jc w:val="both"/>
      </w:pPr>
    </w:p>
    <w:p w:rsidR="00205DE1" w:rsidRDefault="00205DE1">
      <w:pPr>
        <w:pStyle w:val="ConsPlusNormal"/>
        <w:ind w:firstLine="540"/>
        <w:jc w:val="both"/>
      </w:pPr>
      <w:r>
        <w:t>Резолютивная часть определения объявлена 13 ноября 2019 года.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Полный текст определения изготовлен 18 ноября 2019 года.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Судебная коллегия по экономическим спорам Верховного Суда Российской Федерации в составе: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председательствующего судьи </w:t>
      </w:r>
      <w:proofErr w:type="spellStart"/>
      <w:r>
        <w:t>Завьяловой</w:t>
      </w:r>
      <w:proofErr w:type="spellEnd"/>
      <w:r>
        <w:t xml:space="preserve"> Т.В.,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судей Антоновой М.К., Прониной М.В.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рассмотрела в открытом судебном заседании кассационную жалобу общества с ограниченной ответственностью "</w:t>
      </w:r>
      <w:proofErr w:type="spellStart"/>
      <w:r>
        <w:t>СтройАктив</w:t>
      </w:r>
      <w:proofErr w:type="spellEnd"/>
      <w:r>
        <w:t xml:space="preserve">" на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Арбитражного суда Северо-Западного округа от 23.04.2019 по делу N А56-115357/2018 Арбитражного суда города Санкт-Петербурга и Ленинградской области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по заявлению общества с ограниченной ответственностью "</w:t>
      </w:r>
      <w:proofErr w:type="spellStart"/>
      <w:r>
        <w:t>СтройАктив</w:t>
      </w:r>
      <w:proofErr w:type="spellEnd"/>
      <w:r>
        <w:t>" (далее - общество, заявитель) к Управлению Федеральной антимонопольной службы по Санкт-Петербургу (далее - управление, антимонопольный орган) об оспаривании решения и предписания от 11.09.2018 по делу N 44-4254/18,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при участии в деле в качестве третьих лиц, не заявляющих самостоятельных требований относительно предмета спора: Санкт-Петербургского государственного казенного учреждения "Фонд капитального строительства и реконструкции" (далее - учреждение, заказчик), общества с ограниченной ответственностью "</w:t>
      </w:r>
      <w:proofErr w:type="spellStart"/>
      <w:r>
        <w:t>НордСтрой</w:t>
      </w:r>
      <w:proofErr w:type="spellEnd"/>
      <w:r>
        <w:t xml:space="preserve"> 3" (далее - ООО "</w:t>
      </w:r>
      <w:proofErr w:type="spellStart"/>
      <w:r>
        <w:t>НордСтрой</w:t>
      </w:r>
      <w:proofErr w:type="spellEnd"/>
      <w:r>
        <w:t xml:space="preserve"> 3"),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В заседании приняли участие представители: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от общества - </w:t>
      </w:r>
      <w:proofErr w:type="spellStart"/>
      <w:r>
        <w:t>Абаринов</w:t>
      </w:r>
      <w:proofErr w:type="spellEnd"/>
      <w:r>
        <w:t xml:space="preserve"> Е.М.,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от антимонопольного органа - </w:t>
      </w:r>
      <w:proofErr w:type="spellStart"/>
      <w:r>
        <w:t>Вовкивская</w:t>
      </w:r>
      <w:proofErr w:type="spellEnd"/>
      <w:r>
        <w:t xml:space="preserve"> Л.В., </w:t>
      </w:r>
      <w:proofErr w:type="spellStart"/>
      <w:r>
        <w:t>Жлукта</w:t>
      </w:r>
      <w:proofErr w:type="spellEnd"/>
      <w:r>
        <w:t xml:space="preserve"> А.Е., Нечаев Д.В., Рослова О.А.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Заслушав доклад судьи Верховного Суда Российской Федерации Антоновой М.К., выслушав объяснения представителей участвующих в деле лиц, Судебная коллегия по экономическим спорам Верховного Суда Российской Федерации</w:t>
      </w:r>
    </w:p>
    <w:p w:rsidR="00205DE1" w:rsidRDefault="00205DE1">
      <w:pPr>
        <w:pStyle w:val="ConsPlusNormal"/>
        <w:jc w:val="center"/>
      </w:pPr>
    </w:p>
    <w:p w:rsidR="00205DE1" w:rsidRDefault="00205DE1">
      <w:pPr>
        <w:pStyle w:val="ConsPlusNormal"/>
        <w:jc w:val="center"/>
      </w:pPr>
      <w:r>
        <w:t>установила:</w:t>
      </w:r>
    </w:p>
    <w:p w:rsidR="00205DE1" w:rsidRDefault="00205DE1">
      <w:pPr>
        <w:pStyle w:val="ConsPlusNormal"/>
        <w:jc w:val="center"/>
      </w:pPr>
    </w:p>
    <w:p w:rsidR="00205DE1" w:rsidRDefault="00205DE1">
      <w:pPr>
        <w:pStyle w:val="ConsPlusNormal"/>
        <w:ind w:firstLine="540"/>
        <w:jc w:val="both"/>
      </w:pPr>
      <w:r>
        <w:t xml:space="preserve">учреждение разместило на официальном сайте в информационной телекоммуникационной сети "Интернет" по адресу </w:t>
      </w:r>
      <w:proofErr w:type="spellStart"/>
      <w:r>
        <w:t>www.zakupki.gov.ru</w:t>
      </w:r>
      <w:proofErr w:type="spellEnd"/>
      <w:r>
        <w:t xml:space="preserve"> извещение N 0372200260018000171 о проведении запроса предложений на право заключения контракта на выполнение работ по завершению строительства поликлиники для взрослых (600 посещений в смену) и документацию о проведении указанного запроса предложений. Начальная (максимальная) цена контракта составляла 313 445 457 рублей 31 копейку.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Общество признано победителем закупки.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ООО "</w:t>
      </w:r>
      <w:proofErr w:type="spellStart"/>
      <w:r>
        <w:t>НордСтрой</w:t>
      </w:r>
      <w:proofErr w:type="spellEnd"/>
      <w:r>
        <w:t xml:space="preserve"> 3" обратилось в антимонопольный орган с жалобой на действия заказчика в части установления в закупочной документации порядка оценки заявок по критерию "квалификация участников закупки".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lastRenderedPageBreak/>
        <w:t>По результатам рассмотрения жалобы управлением вынесено решение от 11.09.2018 по делу N 44-4254/18, которым жалоба ООО "</w:t>
      </w:r>
      <w:proofErr w:type="spellStart"/>
      <w:r>
        <w:t>НордСтрой</w:t>
      </w:r>
      <w:proofErr w:type="spellEnd"/>
      <w:r>
        <w:t xml:space="preserve"> 3" признана обоснованной, а заказчик - нарушившим </w:t>
      </w:r>
      <w:hyperlink r:id="rId5" w:history="1">
        <w:r>
          <w:rPr>
            <w:color w:val="0000FF"/>
          </w:rPr>
          <w:t>пункты 3</w:t>
        </w:r>
      </w:hyperlink>
      <w:r>
        <w:t xml:space="preserve"> и </w:t>
      </w:r>
      <w:hyperlink r:id="rId6" w:history="1">
        <w:r>
          <w:rPr>
            <w:color w:val="0000FF"/>
          </w:rPr>
          <w:t>7 части 6 статьи 83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нужд" (далее - Закон о контрактной системе).</w:t>
      </w:r>
      <w:proofErr w:type="gramEnd"/>
    </w:p>
    <w:p w:rsidR="00205DE1" w:rsidRDefault="00205DE1">
      <w:pPr>
        <w:pStyle w:val="ConsPlusNormal"/>
        <w:spacing w:before="220"/>
        <w:ind w:firstLine="540"/>
        <w:jc w:val="both"/>
      </w:pPr>
      <w:r>
        <w:t>Учреждению выдано предписание в целях устранения нарушений путем аннулирования закупки (определения исполнителя).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Считая ненормативные акты антимонопольного органа незаконными, общество (победитель закупки) обратилось в арбитражный суд с настоящим заявлением.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Решением Арбитражного суда города Санкт-Петербурга и Ленинградской области от 23.11.2018, оставленным без изменения </w:t>
      </w:r>
      <w:hyperlink r:id="rId7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Т</w:t>
      </w:r>
      <w:proofErr w:type="gramEnd"/>
      <w:r>
        <w:t>ринадцатого арбитражного апелляционного суда от 25.02.2019, заявленные требования удовлетворены с указанием на отсутствие у управления правовых оснований для принятия решения и предписания ввиду недоказанности нарушения учреждением порядка проведения запроса предложений.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Судебные инстанции исходили из того, что заказчик с учетом своих нужд и потребностей, а также объекта закупки имел право установить с целью оценки показателя "Деловая репутация участника закупки" требование о представлении сертификатов, выданных в соответствии с требованиями </w:t>
      </w:r>
      <w:hyperlink r:id="rId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66.1.03-2016</w:t>
        </w:r>
      </w:hyperlink>
      <w:r>
        <w:t xml:space="preserve"> "Оценка опыта и деловой репутации субъектов предпринимательской деятельности. Национальная система стандартов. Оценка опыта и деловой репутации строительных организаций" и Системы добровольной сертификации "Развитие, качество, актуальность" (далее - ГОСТ </w:t>
      </w:r>
      <w:proofErr w:type="gramStart"/>
      <w:r>
        <w:t>Р</w:t>
      </w:r>
      <w:proofErr w:type="gramEnd"/>
      <w:r>
        <w:t xml:space="preserve"> 66.1.03-2016).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t xml:space="preserve">Суды сочли, что такое требование соответствует положениям </w:t>
      </w:r>
      <w:hyperlink r:id="rId9" w:history="1">
        <w:r>
          <w:rPr>
            <w:color w:val="0000FF"/>
          </w:rPr>
          <w:t>статей 8</w:t>
        </w:r>
      </w:hyperlink>
      <w:r>
        <w:t xml:space="preserve">, </w:t>
      </w:r>
      <w:hyperlink r:id="rId10" w:history="1">
        <w:r>
          <w:rPr>
            <w:color w:val="0000FF"/>
          </w:rPr>
          <w:t>12</w:t>
        </w:r>
      </w:hyperlink>
      <w:r>
        <w:t xml:space="preserve">, </w:t>
      </w:r>
      <w:hyperlink r:id="rId11" w:history="1">
        <w:r>
          <w:rPr>
            <w:color w:val="0000FF"/>
          </w:rPr>
          <w:t>32</w:t>
        </w:r>
      </w:hyperlink>
      <w:r>
        <w:t xml:space="preserve">, </w:t>
      </w:r>
      <w:hyperlink r:id="rId12" w:history="1">
        <w:r>
          <w:rPr>
            <w:color w:val="0000FF"/>
          </w:rPr>
          <w:t>83</w:t>
        </w:r>
      </w:hyperlink>
      <w:r>
        <w:t xml:space="preserve"> Закона о контрактной системе, </w:t>
      </w:r>
      <w:hyperlink r:id="rId13" w:history="1">
        <w:r>
          <w:rPr>
            <w:color w:val="0000FF"/>
          </w:rPr>
          <w:t>Правилам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Российской Федерации от 28.11.2013 N 1085 (далее - Правила N 1085), не препятствует участию в конкурсе, не предрешает исхода закупки, не создает преимуществ конкретному лицу, а</w:t>
      </w:r>
      <w:proofErr w:type="gramEnd"/>
      <w:r>
        <w:t xml:space="preserve"> направлено на выбор победителем закупки лица, наиболее соответствующего потребностям заказчика. При этом содержание показателя "деловая репутация участника закупки" по </w:t>
      </w:r>
      <w:proofErr w:type="spellStart"/>
      <w:r>
        <w:t>нестоимостному</w:t>
      </w:r>
      <w:proofErr w:type="spellEnd"/>
      <w:r>
        <w:t xml:space="preserve"> критерию "Квалификация участников закупки" и порядок его оценки в документации о закупке полностью раскрыты.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Арбитражный суд Северо-Западного округа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от 23.04.2019 принятые по делу судебные акты отменил и обществу в удовлетворении требований отказал.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Рассматривая спор, суд округа согласился с выводом антимонопольного органа о том, что установление в закупочной документации в качестве предмета оценки по показателю "деловая репутация" только "индекса деловой репутации" (рассчитанного органами двух конкретных систем добровольной сертификации) противоречит </w:t>
      </w:r>
      <w:hyperlink r:id="rId15" w:history="1">
        <w:r>
          <w:rPr>
            <w:color w:val="0000FF"/>
          </w:rPr>
          <w:t>части 2 статьи 8</w:t>
        </w:r>
      </w:hyperlink>
      <w:r>
        <w:t xml:space="preserve"> Закона о контрактной системе и </w:t>
      </w:r>
      <w:hyperlink r:id="rId16" w:history="1">
        <w:r>
          <w:rPr>
            <w:color w:val="0000FF"/>
          </w:rPr>
          <w:t>пункту 3</w:t>
        </w:r>
      </w:hyperlink>
      <w:r>
        <w:t xml:space="preserve"> Правил N 1085.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Суд округа указал, что документация о закупке сформирована заказчиком таким образом, что участники закупки, имеющие опыт успешного выполнения работ по предмету закупки и высокую деловую репутацию, лишены возможности представить документы, подтверждающие их квалификацию в производстве строительных работ, в </w:t>
      </w:r>
      <w:proofErr w:type="gramStart"/>
      <w:r>
        <w:t>связи</w:t>
      </w:r>
      <w:proofErr w:type="gramEnd"/>
      <w:r>
        <w:t xml:space="preserve"> с чем заявка такого участника будет необоснованно оценена в 0 баллов. Данное обстоятельство ставит таких участников закупки в неравное положение с теми участниками закупки, которые могут обладать хоть и меньшим опытом работ, но имеют преимущество при оценке заявок лишь по основанию наличия сертификата соответствия, содержащего "индекс деловой репутации". Вместе с тем наличие сертификата соответствия само по себе не указывает на более высокий уровень квалификации такого участника закупки и не свидетельствует о предложении с его стороны лучших условий </w:t>
      </w:r>
      <w:r>
        <w:lastRenderedPageBreak/>
        <w:t>исполнения контракта.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Не согласившись с принятым по делу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суда округа, общество обратилось с кассационной жалобой в Верховный Суд Российской Федерации, в которых просит его отменить, ссылаясь на существенные нарушения норм права.</w:t>
      </w:r>
    </w:p>
    <w:p w:rsidR="00205DE1" w:rsidRDefault="00205DE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Определением</w:t>
        </w:r>
      </w:hyperlink>
      <w:r>
        <w:t xml:space="preserve"> судьи Верховного Суда Российской Федерации Антоновой М.К. от 08.10.2019 кассационная жалоба общества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9" w:history="1">
        <w:r>
          <w:rPr>
            <w:color w:val="0000FF"/>
          </w:rPr>
          <w:t>части 1 статьи 291.11</w:t>
        </w:r>
      </w:hyperlink>
      <w:r>
        <w:t xml:space="preserve">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</w:t>
      </w:r>
      <w:proofErr w:type="gramEnd"/>
      <w:r>
        <w:t xml:space="preserve"> иной экономической деятельности, а также защита охраняемых законом публичных интересов.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Изучив материалы дела, проверив в соответствии с положениями </w:t>
      </w:r>
      <w:hyperlink r:id="rId20" w:history="1">
        <w:r>
          <w:rPr>
            <w:color w:val="0000FF"/>
          </w:rPr>
          <w:t>статьи 291.14</w:t>
        </w:r>
      </w:hyperlink>
      <w:r>
        <w:t xml:space="preserve"> Арбитражного процессуального кодекса Российской Федерации законность обжалуемых судебных актов, Судебная коллегия считает, что обжалуемый судебный </w:t>
      </w:r>
      <w:hyperlink r:id="rId21" w:history="1">
        <w:r>
          <w:rPr>
            <w:color w:val="0000FF"/>
          </w:rPr>
          <w:t>акт</w:t>
        </w:r>
      </w:hyperlink>
      <w:r>
        <w:t xml:space="preserve"> подлежит отмене по следующим основаниям.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2" w:history="1">
        <w:r>
          <w:rPr>
            <w:color w:val="0000FF"/>
          </w:rPr>
          <w:t>части 1 статьи 2</w:t>
        </w:r>
      </w:hyperlink>
      <w:r>
        <w:t xml:space="preserve"> Закона о контрактной системе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основывается, в том числе на положениях Бюджетного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Бюджетный кодекс).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24" w:history="1">
        <w:r>
          <w:rPr>
            <w:color w:val="0000FF"/>
          </w:rPr>
          <w:t>статьями 69</w:t>
        </w:r>
      </w:hyperlink>
      <w:r>
        <w:t xml:space="preserve"> и </w:t>
      </w:r>
      <w:hyperlink r:id="rId25" w:history="1">
        <w:r>
          <w:rPr>
            <w:color w:val="0000FF"/>
          </w:rPr>
          <w:t>72</w:t>
        </w:r>
      </w:hyperlink>
      <w:r>
        <w:t xml:space="preserve"> Бюджетного кодекса закупки товаров, работ, услуг для обеспечения государственных (муниципальных) нужд производятся за счет бюджетных ассигнований (расходы бюджетов), осуществление которых согласно </w:t>
      </w:r>
      <w:hyperlink r:id="rId26" w:history="1">
        <w:r>
          <w:rPr>
            <w:color w:val="0000FF"/>
          </w:rPr>
          <w:t>статье 32</w:t>
        </w:r>
      </w:hyperlink>
      <w:r>
        <w:t xml:space="preserve"> Бюджетного кодекса должно отвечать принципу эффективности 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С учетом названных положений бюджетного законодательства к числу основных принципов контрактной системы согласно </w:t>
      </w:r>
      <w:hyperlink r:id="rId27" w:history="1">
        <w:r>
          <w:rPr>
            <w:color w:val="0000FF"/>
          </w:rPr>
          <w:t>статье 6</w:t>
        </w:r>
      </w:hyperlink>
      <w:r>
        <w:t xml:space="preserve">, </w:t>
      </w:r>
      <w:hyperlink r:id="rId28" w:history="1">
        <w:r>
          <w:rPr>
            <w:color w:val="0000FF"/>
          </w:rPr>
          <w:t>части 1 статьи 12</w:t>
        </w:r>
      </w:hyperlink>
      <w:r>
        <w:t xml:space="preserve"> Закона о контрактной системе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(эффективного использования источников финансирования).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t xml:space="preserve">Следовательно, закрепленный в </w:t>
      </w:r>
      <w:hyperlink r:id="rId29" w:history="1">
        <w:r>
          <w:rPr>
            <w:color w:val="0000FF"/>
          </w:rPr>
          <w:t>статье 8</w:t>
        </w:r>
      </w:hyperlink>
      <w:r>
        <w:t xml:space="preserve"> Закона о контрактной системе принцип обеспечения конкуренции (создания равных условий для обеспечения конкуренции между участниками закупок), равно как и корреспондирующие этому принципу специальные положения </w:t>
      </w:r>
      <w:hyperlink r:id="rId30" w:history="1">
        <w:r>
          <w:rPr>
            <w:color w:val="0000FF"/>
          </w:rPr>
          <w:t>Закона</w:t>
        </w:r>
      </w:hyperlink>
      <w:r>
        <w:t xml:space="preserve"> о контрактной системе, устанавливающие запрет на ограничение количества участников закупочных процедур (доступа к участию в этих процедурах), должны применяться таким образом, чтобы контрактная система способствовала удовлетворению государственных (муниципальных) нужд, обеспечивала</w:t>
      </w:r>
      <w:proofErr w:type="gramEnd"/>
      <w:r>
        <w:t xml:space="preserve"> экономность и результативность соответствующих бюджетных ассигнований и не приводила к созданию условий для длительного неудовлетворения государственных (муниципальных) нужд, ущемлению прав и законных интересов граждан - жителей соответствующих публично-правовых образований, в интересах которых осуществляются расходы бюджетов.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Из этого вытекает, что механизм защиты прав участников закупки в административном порядке путем рассмотрения их жалоб контрольным органом в сфере закупок, установленный </w:t>
      </w:r>
      <w:hyperlink r:id="rId31" w:history="1">
        <w:r>
          <w:rPr>
            <w:color w:val="0000FF"/>
          </w:rPr>
          <w:t>главой 6</w:t>
        </w:r>
      </w:hyperlink>
      <w:r>
        <w:t xml:space="preserve"> Закона о контрактной системе, в соответствии с </w:t>
      </w:r>
      <w:hyperlink r:id="rId32" w:history="1">
        <w:r>
          <w:rPr>
            <w:color w:val="0000FF"/>
          </w:rPr>
          <w:t>пунктом 2 статьи 11</w:t>
        </w:r>
      </w:hyperlink>
      <w:r>
        <w:t xml:space="preserve"> Гражданского кодекса Российской Федерации (далее - Гражданский кодекс) должен применяться в случаях действительных, а не мнимых нарушений прав и законных интересов участников закупки и не должен</w:t>
      </w:r>
      <w:proofErr w:type="gramEnd"/>
      <w:r>
        <w:t xml:space="preserve"> создавать предпосылки для нарушения вышеуказанных публичных интересов.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Спорная закупка осуществлялась заказчиком для строительства здания медицинского учреждения (поликлиники), необходимого для удовлетворения потребностей взрослых жителей Санкт-Петербурга.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В закупочной документации заказчик предусмотрел использование критерия деловой репутации участников закупки, включающий в себя наличие финансовых ресурсов, оборудования и других материальных ресурсов, опыта работы.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При описании показателей указанного критерия заказчик определил, что деловая репутация определяется индексом деловой репутации, исчисляемым в соответствии с требованиями национального стандарта - "</w:t>
      </w:r>
      <w:hyperlink r:id="rId3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66.1.03-2016</w:t>
        </w:r>
      </w:hyperlink>
      <w:r>
        <w:t xml:space="preserve">. Национальный стандарт Российской Федерации. Оценка опыта и деловой репутации субъектов предпринимательской деятельности. Национальная система стандартов. Оценка опыта и деловой репутации строительных организаций"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17.02.2016 N 54-ст, далее - ГОСТ </w:t>
      </w:r>
      <w:proofErr w:type="gramStart"/>
      <w:r>
        <w:t>Р</w:t>
      </w:r>
      <w:proofErr w:type="gramEnd"/>
      <w:r>
        <w:t xml:space="preserve"> 66.1.03-2016), соответствие которому подтверждается в рамках Системы добровольной сертификации "Компетентность и экспертная оценка" (регистрационный номер РОСС RU.31778.04ИЕГ5) или Системы добровольной сертификации "Развитие, качество, актуальность" (регистрационный номер РОСС RU.31836.04ИЕД6).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Названный национальный </w:t>
      </w:r>
      <w:hyperlink r:id="rId34" w:history="1">
        <w:r>
          <w:rPr>
            <w:color w:val="0000FF"/>
          </w:rPr>
          <w:t>стандарт</w:t>
        </w:r>
      </w:hyperlink>
      <w:r>
        <w:t xml:space="preserve">, как указано в его предисловии, устанавливает специальные требования, модель и критерии оценки деловой репутации строительных организаций, позволяет обеспечить единый и объективный подход при выборе строительной организации при проведении различных видов закупок, в том числе конкурсов, а также оценки ее </w:t>
      </w:r>
      <w:proofErr w:type="spellStart"/>
      <w:r>
        <w:t>репутационного</w:t>
      </w:r>
      <w:proofErr w:type="spellEnd"/>
      <w:r>
        <w:t xml:space="preserve"> потенциала и финансовой успешности.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Упомянутый </w:t>
      </w:r>
      <w:hyperlink r:id="rId35" w:history="1">
        <w:r>
          <w:rPr>
            <w:color w:val="0000FF"/>
          </w:rPr>
          <w:t>стандарт</w:t>
        </w:r>
      </w:hyperlink>
      <w:r>
        <w:t xml:space="preserve"> входит в национальную систему стандартов "Оценка опыта и деловой репутации субъектов предпринимательской деятельности", в соответствии с ОК 029 относящихся к </w:t>
      </w:r>
      <w:hyperlink r:id="rId36" w:history="1">
        <w:r>
          <w:rPr>
            <w:color w:val="0000FF"/>
          </w:rPr>
          <w:t>разделу F</w:t>
        </w:r>
      </w:hyperlink>
      <w:r>
        <w:t xml:space="preserve"> "Строительство".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Таким образом, национальный </w:t>
      </w:r>
      <w:hyperlink r:id="rId37" w:history="1">
        <w:r>
          <w:rPr>
            <w:color w:val="0000FF"/>
          </w:rPr>
          <w:t>стандарт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66.1.01-2016 относится к общепринятым для строительной деятельности документам, его соблюдение может разумно ожидаться от лиц, претендующих на заключение государственного контракта, и установление в закупочной документации критерия деловой репутации, оцениваемого исходя из подтверждения участником закупки своего соответствия требованиям названного национального </w:t>
      </w:r>
      <w:hyperlink r:id="rId38" w:history="1">
        <w:r>
          <w:rPr>
            <w:color w:val="0000FF"/>
          </w:rPr>
          <w:t>стандарта</w:t>
        </w:r>
      </w:hyperlink>
      <w:r>
        <w:t xml:space="preserve">, соответствует положениям </w:t>
      </w:r>
      <w:hyperlink r:id="rId39" w:history="1">
        <w:r>
          <w:rPr>
            <w:color w:val="0000FF"/>
          </w:rPr>
          <w:t>части 1 статьи 12</w:t>
        </w:r>
      </w:hyperlink>
      <w:r>
        <w:t xml:space="preserve"> Закона о контрактной системе, </w:t>
      </w:r>
      <w:hyperlink r:id="rId40" w:history="1">
        <w:r>
          <w:rPr>
            <w:color w:val="0000FF"/>
          </w:rPr>
          <w:t>статьи 32</w:t>
        </w:r>
      </w:hyperlink>
      <w:r>
        <w:t xml:space="preserve"> Бюджетного кодекса, поскольку позволяет дать объективную и достоверную оценку способности соответствующего участника исполнить государственный контракт с соблюдением качества и сроков.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То обстоятельство, что заказчиком определены две конкретные системы добровольной сертификации (разработанные двумя организациями), </w:t>
      </w:r>
      <w:proofErr w:type="gramStart"/>
      <w:r>
        <w:t>результаты</w:t>
      </w:r>
      <w:proofErr w:type="gramEnd"/>
      <w:r>
        <w:t xml:space="preserve"> оценки которых принимаются для оценки заявок участников закупки по указанному показателю, само по себе не свидетельствует об ограничении доступа к участию в закупке.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Как правомерно указали суды первой и апелляционной инстанций, в рассматриваемом случае установление в закупочной документации требования к участникам закупки о представлении сертификата соответствия </w:t>
      </w:r>
      <w:hyperlink r:id="rId4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66.1.03-2016</w:t>
        </w:r>
      </w:hyperlink>
      <w:r>
        <w:t xml:space="preserve"> направлено на определение наиболее квалифицированного исполнителя по заключаемому контракту. </w:t>
      </w:r>
      <w:proofErr w:type="gramStart"/>
      <w:r>
        <w:t>Данный вывод судов двух инстанций судом округа не опровергнут</w:t>
      </w:r>
      <w:proofErr w:type="gramEnd"/>
      <w:r>
        <w:t>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Следовательно, как таковое отсутствие у организации сертификата соответствия на дату опубликования извещения о проведении запроса предложений, не могло служить основанием для вывода о неправомерном включении такого требования в закупочную документацию, поскольку при установлении порядка оценки по </w:t>
      </w:r>
      <w:proofErr w:type="spellStart"/>
      <w:r>
        <w:t>нестоимостным</w:t>
      </w:r>
      <w:proofErr w:type="spellEnd"/>
      <w:r>
        <w:t xml:space="preserve"> критериям заказчик не обязан применять в качестве показателей оценки именно те показатели, которыми обладает конкретный потенциальный участник закупки.</w:t>
      </w:r>
      <w:proofErr w:type="gramEnd"/>
    </w:p>
    <w:p w:rsidR="00205DE1" w:rsidRDefault="00205DE1">
      <w:pPr>
        <w:pStyle w:val="ConsPlusNormal"/>
        <w:spacing w:before="220"/>
        <w:ind w:firstLine="540"/>
        <w:jc w:val="both"/>
      </w:pPr>
      <w:r>
        <w:t>Удовлетворяя жалобу ООО "</w:t>
      </w:r>
      <w:proofErr w:type="spellStart"/>
      <w:r>
        <w:t>НордСтрой</w:t>
      </w:r>
      <w:proofErr w:type="spellEnd"/>
      <w:r>
        <w:t xml:space="preserve"> 3", управление не установило обстоятельств, которые бы свидетельствовали о том, что выбор заказчиком двух конкретных систем добровольной сертификации, </w:t>
      </w:r>
      <w:proofErr w:type="gramStart"/>
      <w:r>
        <w:t>результаты</w:t>
      </w:r>
      <w:proofErr w:type="gramEnd"/>
      <w:r>
        <w:t xml:space="preserve"> оценки которых принимаются для оценки заявок участников, направлен на предоставление преимуществ тем или иным участникам закупки.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Суд округа, возлагая на заказчика обязанность по доказыванию законности своих действий при формировании закупочной документации в рассматриваемой части не принял во внимание, что в силу </w:t>
      </w:r>
      <w:hyperlink r:id="rId42" w:history="1">
        <w:r>
          <w:rPr>
            <w:color w:val="0000FF"/>
          </w:rPr>
          <w:t>части 5 статьи 200</w:t>
        </w:r>
      </w:hyperlink>
      <w:r>
        <w:t xml:space="preserve"> Арбитражного процессуального кодекса Российской Федерации обязанность доказывания законности ненормативного правового акта, в первую очередь, возлагается на принявший его орган. </w:t>
      </w:r>
      <w:proofErr w:type="gramStart"/>
      <w:r>
        <w:t>Поэтому именно управление, как контролирующий орган в сфере закупок, вынесший оспариваемые решение и предписание, должно было представить доказательства, подтверждающие направленность действий заказчика на ограничение равного доступа к закупке, в том числе, исходя из доказательств, которые предоставлялись ООО "</w:t>
      </w:r>
      <w:proofErr w:type="spellStart"/>
      <w:r>
        <w:t>НордСтрой</w:t>
      </w:r>
      <w:proofErr w:type="spellEnd"/>
      <w:r>
        <w:t xml:space="preserve"> 3" при обращении с жалобой в управление в подтверждение нарушения своих прав действиями заказчика.</w:t>
      </w:r>
      <w:proofErr w:type="gramEnd"/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t xml:space="preserve">Аналогичная позиция относительно обязанности контролирующего органа в сфере закупок по представлению доказательств изложена в </w:t>
      </w:r>
      <w:hyperlink r:id="rId43" w:history="1">
        <w:r>
          <w:rPr>
            <w:color w:val="0000FF"/>
          </w:rPr>
          <w:t>пункте 1</w:t>
        </w:r>
      </w:hyperlink>
      <w:r>
        <w:t xml:space="preserve"> 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(утвержден Президиумом Верховного Суда Российской Федерации 28.06.2017), но в нарушение </w:t>
      </w:r>
      <w:hyperlink r:id="rId44" w:history="1">
        <w:r>
          <w:rPr>
            <w:color w:val="0000FF"/>
          </w:rPr>
          <w:t>части 4 статьи 170</w:t>
        </w:r>
      </w:hyperlink>
      <w:r>
        <w:t xml:space="preserve"> Арбитражного процессуального кодекса Российской Федерации не принята во</w:t>
      </w:r>
      <w:proofErr w:type="gramEnd"/>
      <w:r>
        <w:t xml:space="preserve"> внимание судом округа.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Суды первой и апелляционной инстанций также установили, что исходя из положений процедуры закупки представление копии сертификата в соответствии с </w:t>
      </w:r>
      <w:hyperlink r:id="rId4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66.1.01-2016</w:t>
        </w:r>
      </w:hyperlink>
      <w:r>
        <w:t xml:space="preserve"> не являлось обязательным условием для участия в проведении запроса предложений, не могло служить основанием для отклонения заявки участника, а выступало лишь одним из критериев оценки участника, в то время как к участию в закупке могло быть допущено любое лицо независимо от наличия сертификата.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Доказательств, свидетельствующих о том, что участникам закупки отказано в допуске к участию в конкурсе в связи с отсутствием сертификата, материалы дела не содержат и при рассмотрении дела судами не установлено обстоятельств такого отказа, как и фактов обращения участников закупки с жалобами, связанными с получением сертификата.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При этом ООО "</w:t>
      </w:r>
      <w:proofErr w:type="spellStart"/>
      <w:r>
        <w:t>НордСтрой</w:t>
      </w:r>
      <w:proofErr w:type="spellEnd"/>
      <w:r>
        <w:t xml:space="preserve"> 3", жалоба которого была удовлетворена управлением, фактически участия в закупке не приняло, действий по получению сертификата соответствия не предпринимало. Обращаясь с жалобой в управление, данная организация не приводила доводы и не представляла доказательства, подтверждающие реальность своих намерений, способность выполнения работ, являющихся предметом закупки, а также свидетельствующие о соответствии иным критериям документации о закупке.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t>В такой ситуации отсутствуют основания полагать, что ООО "</w:t>
      </w:r>
      <w:proofErr w:type="spellStart"/>
      <w:r>
        <w:t>НордСтрой</w:t>
      </w:r>
      <w:proofErr w:type="spellEnd"/>
      <w:r>
        <w:t xml:space="preserve"> 3" не стало победителем закупки вследствие угрозы применения к нему спорного критерия оценки и, соответственно, о нарушении прав и законных интересов этого лица действиями заказчика (положениями документации о закупке), в том числе о постановке данного лица в неравное положение в сравнении с иными участниками закупки и ограничении доступа к участию в</w:t>
      </w:r>
      <w:proofErr w:type="gramEnd"/>
      <w:r>
        <w:t xml:space="preserve"> закупке </w:t>
      </w:r>
      <w:r>
        <w:lastRenderedPageBreak/>
        <w:t>(</w:t>
      </w:r>
      <w:hyperlink r:id="rId46" w:history="1">
        <w:r>
          <w:rPr>
            <w:color w:val="0000FF"/>
          </w:rPr>
          <w:t>статья 8</w:t>
        </w:r>
      </w:hyperlink>
      <w:r>
        <w:t xml:space="preserve">, </w:t>
      </w:r>
      <w:hyperlink r:id="rId47" w:history="1">
        <w:r>
          <w:rPr>
            <w:color w:val="0000FF"/>
          </w:rPr>
          <w:t>пункты 3</w:t>
        </w:r>
      </w:hyperlink>
      <w:r>
        <w:t xml:space="preserve"> и </w:t>
      </w:r>
      <w:hyperlink r:id="rId48" w:history="1">
        <w:r>
          <w:rPr>
            <w:color w:val="0000FF"/>
          </w:rPr>
          <w:t>7 части 6 статьи 83</w:t>
        </w:r>
      </w:hyperlink>
      <w:r>
        <w:t xml:space="preserve"> Закона о контрактной системе).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Следовательно, достаточные основания для удовлетворения жалобы данной организации, предусмотренные </w:t>
      </w:r>
      <w:hyperlink r:id="rId49" w:history="1">
        <w:r>
          <w:rPr>
            <w:color w:val="0000FF"/>
          </w:rPr>
          <w:t>пунктом 2 статьи 11</w:t>
        </w:r>
      </w:hyperlink>
      <w:r>
        <w:t xml:space="preserve"> Гражданского кодекса и </w:t>
      </w:r>
      <w:hyperlink r:id="rId50" w:history="1">
        <w:r>
          <w:rPr>
            <w:color w:val="0000FF"/>
          </w:rPr>
          <w:t>статьями 105</w:t>
        </w:r>
      </w:hyperlink>
      <w:r>
        <w:t xml:space="preserve"> - </w:t>
      </w:r>
      <w:hyperlink r:id="rId51" w:history="1">
        <w:r>
          <w:rPr>
            <w:color w:val="0000FF"/>
          </w:rPr>
          <w:t>106</w:t>
        </w:r>
      </w:hyperlink>
      <w:r>
        <w:t xml:space="preserve"> Закона о контрактной системе, в рассматриваемом случае отсутствовали.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Своими действиями контрольный орган в сфере закупок по существу создал основания для аннулирования закупки только для целей ее повторного проведения, что не предусмотрено </w:t>
      </w:r>
      <w:hyperlink r:id="rId52" w:history="1">
        <w:r>
          <w:rPr>
            <w:color w:val="0000FF"/>
          </w:rPr>
          <w:t>Законом</w:t>
        </w:r>
      </w:hyperlink>
      <w:r>
        <w:t xml:space="preserve"> о контрактной системе и способно привести к тому, что государственные нужды длительное время останутся неудовлетворенными.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>Признание управлением жалоб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НордСтрой</w:t>
      </w:r>
      <w:proofErr w:type="spellEnd"/>
      <w:r>
        <w:t xml:space="preserve"> 3" обоснованной также повлекло за собой нарушение прав и законных интересов победителя закупки - ООО "</w:t>
      </w:r>
      <w:proofErr w:type="spellStart"/>
      <w:r>
        <w:t>СтройАктив</w:t>
      </w:r>
      <w:proofErr w:type="spellEnd"/>
      <w:r>
        <w:t>", учитывая отсутствие в материалах дела доказательств, которые позволяли бы поставить под сомнение эффективность и результативность осуществления спорной закупки при выполнении данным обществом государственного контракта.</w:t>
      </w:r>
    </w:p>
    <w:p w:rsidR="00205DE1" w:rsidRDefault="00205DE1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 Судебная коллегия Верховного Суда Российской Федерации приходит к выводу, что суды первой и апелляционной инстанций, оценив представленные в материалы дела доказательства по правилам </w:t>
      </w:r>
      <w:hyperlink r:id="rId53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Федерации, применив нормы материального права, пришли к обоснованному выводу о том, что решение антимонопольного органа и выданное на его основании предписание не соответствуют положениям </w:t>
      </w:r>
      <w:hyperlink r:id="rId54" w:history="1">
        <w:r>
          <w:rPr>
            <w:color w:val="0000FF"/>
          </w:rPr>
          <w:t>Закона</w:t>
        </w:r>
      </w:hyperlink>
      <w:r>
        <w:t xml:space="preserve"> о контрактной системе</w:t>
      </w:r>
      <w:proofErr w:type="gramEnd"/>
      <w:r>
        <w:t xml:space="preserve"> и нарушают права и законные интересы общества в сфере осуществления экономической деятельности, что в силу </w:t>
      </w:r>
      <w:hyperlink r:id="rId55" w:history="1">
        <w:r>
          <w:rPr>
            <w:color w:val="0000FF"/>
          </w:rPr>
          <w:t>части 2 статьи 201</w:t>
        </w:r>
      </w:hyperlink>
      <w:r>
        <w:t xml:space="preserve"> Арбитражного процессуального кодекса Российской Федерации влечет удовлетворение заявленных требований.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При таком положении оспариваемый судебный </w:t>
      </w:r>
      <w:hyperlink r:id="rId56" w:history="1">
        <w:r>
          <w:rPr>
            <w:color w:val="0000FF"/>
          </w:rPr>
          <w:t>акт</w:t>
        </w:r>
      </w:hyperlink>
      <w:r>
        <w:t xml:space="preserve"> суда округа подлежит отмене на основании </w:t>
      </w:r>
      <w:hyperlink r:id="rId57" w:history="1">
        <w:r>
          <w:rPr>
            <w:color w:val="0000FF"/>
          </w:rPr>
          <w:t>части 1 статьи 291.11</w:t>
        </w:r>
      </w:hyperlink>
      <w:r>
        <w:t xml:space="preserve"> Арбитражного процессуального кодекса Российской Федерации, как принятый с существенными нарушениями норм права, повлиявшими на исход дела, а судебные акты судов первой и апелляционной инстанций - подлежат оставлению в силе.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8" w:history="1">
        <w:r>
          <w:rPr>
            <w:color w:val="0000FF"/>
          </w:rPr>
          <w:t>статьями 167</w:t>
        </w:r>
      </w:hyperlink>
      <w:r>
        <w:t xml:space="preserve">, </w:t>
      </w:r>
      <w:hyperlink r:id="rId59" w:history="1">
        <w:r>
          <w:rPr>
            <w:color w:val="0000FF"/>
          </w:rPr>
          <w:t>176</w:t>
        </w:r>
      </w:hyperlink>
      <w:r>
        <w:t xml:space="preserve">, </w:t>
      </w:r>
      <w:hyperlink r:id="rId60" w:history="1">
        <w:r>
          <w:rPr>
            <w:color w:val="0000FF"/>
          </w:rPr>
          <w:t>291.11</w:t>
        </w:r>
      </w:hyperlink>
      <w:r>
        <w:t xml:space="preserve"> - </w:t>
      </w:r>
      <w:hyperlink r:id="rId61" w:history="1">
        <w:r>
          <w:rPr>
            <w:color w:val="0000FF"/>
          </w:rPr>
          <w:t>291.14</w:t>
        </w:r>
      </w:hyperlink>
      <w: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205DE1" w:rsidRDefault="00205DE1">
      <w:pPr>
        <w:pStyle w:val="ConsPlusNormal"/>
        <w:jc w:val="center"/>
      </w:pPr>
    </w:p>
    <w:p w:rsidR="00205DE1" w:rsidRDefault="00205DE1">
      <w:pPr>
        <w:pStyle w:val="ConsPlusNormal"/>
        <w:jc w:val="center"/>
      </w:pPr>
      <w:r>
        <w:t>определила:</w:t>
      </w:r>
    </w:p>
    <w:p w:rsidR="00205DE1" w:rsidRDefault="00205DE1">
      <w:pPr>
        <w:pStyle w:val="ConsPlusNormal"/>
        <w:jc w:val="center"/>
      </w:pPr>
    </w:p>
    <w:p w:rsidR="00205DE1" w:rsidRDefault="00205DE1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Арбитражного суда Северо-Западного округа от 23.04.2019 по делу N А56-115357/2018 Арбитражного суда города Санкт-Петербурга и Ленинградской области отменить.</w:t>
      </w:r>
    </w:p>
    <w:p w:rsidR="00205DE1" w:rsidRDefault="00205DE1">
      <w:pPr>
        <w:pStyle w:val="ConsPlusNormal"/>
        <w:spacing w:before="220"/>
        <w:ind w:firstLine="540"/>
        <w:jc w:val="both"/>
      </w:pPr>
      <w:r>
        <w:t xml:space="preserve">Решение Арбитражного суда города Санкт-Петербурга и Ленинградской области от 23.11.2018 и </w:t>
      </w:r>
      <w:hyperlink r:id="rId63" w:history="1">
        <w:r>
          <w:rPr>
            <w:color w:val="0000FF"/>
          </w:rPr>
          <w:t>Постановление</w:t>
        </w:r>
        <w:proofErr w:type="gramStart"/>
      </w:hyperlink>
      <w:r>
        <w:t xml:space="preserve"> Т</w:t>
      </w:r>
      <w:proofErr w:type="gramEnd"/>
      <w:r>
        <w:t>ринадцатого арбитражного апелляционного суда от 25.02.2019 по тому же делу оставить в силе.</w:t>
      </w:r>
    </w:p>
    <w:p w:rsidR="00205DE1" w:rsidRDefault="00205DE1">
      <w:pPr>
        <w:pStyle w:val="ConsPlusNormal"/>
        <w:ind w:firstLine="540"/>
        <w:jc w:val="both"/>
      </w:pPr>
    </w:p>
    <w:p w:rsidR="00205DE1" w:rsidRDefault="00205DE1">
      <w:pPr>
        <w:pStyle w:val="ConsPlusNormal"/>
        <w:jc w:val="right"/>
      </w:pPr>
      <w:r>
        <w:t>Председательствующий судья</w:t>
      </w:r>
    </w:p>
    <w:p w:rsidR="00205DE1" w:rsidRDefault="00205DE1">
      <w:pPr>
        <w:pStyle w:val="ConsPlusNormal"/>
        <w:jc w:val="right"/>
      </w:pPr>
      <w:r>
        <w:t>Т.В.ЗАВЬЯЛОВА</w:t>
      </w:r>
    </w:p>
    <w:p w:rsidR="00205DE1" w:rsidRDefault="00205DE1">
      <w:pPr>
        <w:pStyle w:val="ConsPlusNormal"/>
        <w:jc w:val="right"/>
      </w:pPr>
    </w:p>
    <w:p w:rsidR="00205DE1" w:rsidRDefault="00205DE1">
      <w:pPr>
        <w:pStyle w:val="ConsPlusNormal"/>
        <w:jc w:val="right"/>
      </w:pPr>
      <w:r>
        <w:t>Судья</w:t>
      </w:r>
    </w:p>
    <w:p w:rsidR="00205DE1" w:rsidRDefault="00205DE1">
      <w:pPr>
        <w:pStyle w:val="ConsPlusNormal"/>
        <w:jc w:val="right"/>
      </w:pPr>
      <w:r>
        <w:t>М.К.АНТОНОВА</w:t>
      </w:r>
    </w:p>
    <w:p w:rsidR="00205DE1" w:rsidRDefault="00205DE1">
      <w:pPr>
        <w:pStyle w:val="ConsPlusNormal"/>
        <w:jc w:val="right"/>
      </w:pPr>
    </w:p>
    <w:p w:rsidR="00205DE1" w:rsidRDefault="00205DE1">
      <w:pPr>
        <w:pStyle w:val="ConsPlusNormal"/>
        <w:jc w:val="right"/>
      </w:pPr>
      <w:r>
        <w:t>Судья</w:t>
      </w:r>
    </w:p>
    <w:p w:rsidR="00205DE1" w:rsidRDefault="00205DE1">
      <w:pPr>
        <w:pStyle w:val="ConsPlusNormal"/>
        <w:jc w:val="right"/>
      </w:pPr>
      <w:r>
        <w:t>М.В.ПРОНИНА</w:t>
      </w:r>
    </w:p>
    <w:p w:rsidR="00205DE1" w:rsidRDefault="00205DE1">
      <w:pPr>
        <w:pStyle w:val="ConsPlusNormal"/>
        <w:ind w:firstLine="540"/>
        <w:jc w:val="both"/>
      </w:pPr>
    </w:p>
    <w:p w:rsidR="00205DE1" w:rsidRDefault="00205DE1">
      <w:pPr>
        <w:pStyle w:val="ConsPlusNormal"/>
        <w:ind w:firstLine="540"/>
        <w:jc w:val="both"/>
      </w:pPr>
    </w:p>
    <w:p w:rsidR="00205DE1" w:rsidRDefault="00205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3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5DE1"/>
    <w:rsid w:val="00205DE1"/>
    <w:rsid w:val="00244BC7"/>
    <w:rsid w:val="00412562"/>
    <w:rsid w:val="006B7091"/>
    <w:rsid w:val="008B194B"/>
    <w:rsid w:val="00A51E86"/>
    <w:rsid w:val="00AE0DB7"/>
    <w:rsid w:val="00B84AE1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12D52D7CBBF71F111AB9F317DA507B04BBA2A73CF4F73504703655677C73435497DA45C5320AE267C432E454FEE9B2A2090C5A86D22C42A5sFM" TargetMode="External"/><Relationship Id="rId18" Type="http://schemas.openxmlformats.org/officeDocument/2006/relationships/hyperlink" Target="consultantplus://offline/ref=8F12D52D7CBBF71F111AB4E002DA507B00BBA5A33DF3F73504703655677C734346978249C73214E266D164B511AAs2M" TargetMode="External"/><Relationship Id="rId26" Type="http://schemas.openxmlformats.org/officeDocument/2006/relationships/hyperlink" Target="consultantplus://offline/ref=8F12D52D7CBBF71F111AB9F317DA507B05BBA1A431F7F73504703655677C73435497DA45C43502E8309E22E01DA9E4AEA315135A98D1A2s5M" TargetMode="External"/><Relationship Id="rId39" Type="http://schemas.openxmlformats.org/officeDocument/2006/relationships/hyperlink" Target="consultantplus://offline/ref=8F12D52D7CBBF71F111AB9F317DA507B05BBA1A43FF4F73504703655677C73435497DA45C5320BE36DC432E454FEE9B2A2090C5A86D22C42A5sFM" TargetMode="External"/><Relationship Id="rId21" Type="http://schemas.openxmlformats.org/officeDocument/2006/relationships/hyperlink" Target="consultantplus://offline/ref=8F12D52D7CBBF71F111AA6E11ADA507B04BAA0AD30F0F73504703655677C734346978249C73214E266D164B511AAs2M" TargetMode="External"/><Relationship Id="rId34" Type="http://schemas.openxmlformats.org/officeDocument/2006/relationships/hyperlink" Target="consultantplus://offline/ref=8F12D52D7CBBF71F111ABAE60EDA507B07BBA3A439FFAA3F0C293A5760732C465386DA46C52C0BE17ACD66B4A1s9M" TargetMode="External"/><Relationship Id="rId42" Type="http://schemas.openxmlformats.org/officeDocument/2006/relationships/hyperlink" Target="consultantplus://offline/ref=8F12D52D7CBBF71F111AB9F317DA507B05BAA1A138F0F73504703655677C73435497DA45C53308E562C432E454FEE9B2A2090C5A86D22C42A5sFM" TargetMode="External"/><Relationship Id="rId47" Type="http://schemas.openxmlformats.org/officeDocument/2006/relationships/hyperlink" Target="consultantplus://offline/ref=8F12D52D7CBBF71F111AB9F317DA507B05BBA1A43FF4F73504703655677C73435497DA45C5330BE260C432E454FEE9B2A2090C5A86D22C42A5sFM" TargetMode="External"/><Relationship Id="rId50" Type="http://schemas.openxmlformats.org/officeDocument/2006/relationships/hyperlink" Target="consultantplus://offline/ref=8F12D52D7CBBF71F111AB9F317DA507B05BBA1A43FF4F73504703655677C73435497DA45C5330FE263C432E454FEE9B2A2090C5A86D22C42A5sFM" TargetMode="External"/><Relationship Id="rId55" Type="http://schemas.openxmlformats.org/officeDocument/2006/relationships/hyperlink" Target="consultantplus://offline/ref=8F12D52D7CBBF71F111AB9F317DA507B05B8A5A738F4F73504703655677C73435497DA47C23A01B7358B33B812ABFAB1A0090F5899ADs9M" TargetMode="External"/><Relationship Id="rId63" Type="http://schemas.openxmlformats.org/officeDocument/2006/relationships/hyperlink" Target="consultantplus://offline/ref=8F12D52D7CBBF71F111AA7F310B20E7705B0FBA83AF3FC675B263002382C751614D7DC1094765FEE66CF78B412B5E6B0A3A1sEM" TargetMode="External"/><Relationship Id="rId7" Type="http://schemas.openxmlformats.org/officeDocument/2006/relationships/hyperlink" Target="consultantplus://offline/ref=8F12D52D7CBBF71F111AA7F310B20E7705B0FBA83AF3FC675B263002382C751614D7DC1094765FEE66CF78B412B5E6B0A3A1s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12D52D7CBBF71F111AB9F317DA507B04BBA2A73CF4F73504703655677C73435497DA45C5320AE263C432E454FEE9B2A2090C5A86D22C42A5sFM" TargetMode="External"/><Relationship Id="rId20" Type="http://schemas.openxmlformats.org/officeDocument/2006/relationships/hyperlink" Target="consultantplus://offline/ref=8F12D52D7CBBF71F111AB9F317DA507B05B8A5A738F4F73504703655677C73435497DA4CC43101B7358B33B812ABFAB1A0090F5899ADs9M" TargetMode="External"/><Relationship Id="rId29" Type="http://schemas.openxmlformats.org/officeDocument/2006/relationships/hyperlink" Target="consultantplus://offline/ref=8F12D52D7CBBF71F111AB9F317DA507B05BBA1A43FF4F73504703655677C73435497DA45C5320AEA6CC432E454FEE9B2A2090C5A86D22C42A5sFM" TargetMode="External"/><Relationship Id="rId41" Type="http://schemas.openxmlformats.org/officeDocument/2006/relationships/hyperlink" Target="consultantplus://offline/ref=8F12D52D7CBBF71F111ABAE60EDA507B07BBA3A439FFAA3F0C293A5760732C465386DA46C52C0BE17ACD66B4A1s9M" TargetMode="External"/><Relationship Id="rId54" Type="http://schemas.openxmlformats.org/officeDocument/2006/relationships/hyperlink" Target="consultantplus://offline/ref=8F12D52D7CBBF71F111AB9F317DA507B05BBA1A43FF4F73504703655677C734346978249C73214E266D164B511AAs2M" TargetMode="External"/><Relationship Id="rId62" Type="http://schemas.openxmlformats.org/officeDocument/2006/relationships/hyperlink" Target="consultantplus://offline/ref=8F12D52D7CBBF71F111AA6E11ADA507B04BAA0AD30F0F73504703655677C734346978249C73214E266D164B511AA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12D52D7CBBF71F111AB9F317DA507B05BAA5A43AF3F73504703655677C73435497DA45C5330BE26CC432E454FEE9B2A2090C5A86D22C42A5sFM" TargetMode="External"/><Relationship Id="rId11" Type="http://schemas.openxmlformats.org/officeDocument/2006/relationships/hyperlink" Target="consultantplus://offline/ref=8F12D52D7CBBF71F111AB9F317DA507B05BBA1A43FF4F73504703655677C73435497DA45C53209E565C432E454FEE9B2A2090C5A86D22C42A5sFM" TargetMode="External"/><Relationship Id="rId24" Type="http://schemas.openxmlformats.org/officeDocument/2006/relationships/hyperlink" Target="consultantplus://offline/ref=8F12D52D7CBBF71F111AB9F317DA507B05BBA1A431F7F73504703655677C73435497DA45C6370AE8309E22E01DA9E4AEA315135A98D1A2s5M" TargetMode="External"/><Relationship Id="rId32" Type="http://schemas.openxmlformats.org/officeDocument/2006/relationships/hyperlink" Target="consultantplus://offline/ref=8F12D52D7CBBF71F111AB9F317DA507B04B2A1A331F6F73504703655677C73435497DA42C1395EB2209A6BB710B5E5B2BC150D59A9s1M" TargetMode="External"/><Relationship Id="rId37" Type="http://schemas.openxmlformats.org/officeDocument/2006/relationships/hyperlink" Target="consultantplus://offline/ref=8F12D52D7CBBF71F111ABAE60EDA507B07BBA3A439FFAA3F0C293A5760732C465386DA46C52C0BE17ACD66B4A1s9M" TargetMode="External"/><Relationship Id="rId40" Type="http://schemas.openxmlformats.org/officeDocument/2006/relationships/hyperlink" Target="consultantplus://offline/ref=8F12D52D7CBBF71F111AB9F317DA507B05BBA1A431F7F73504703655677C73435497DA45C43502E8309E22E01DA9E4AEA315135A98D1A2s5M" TargetMode="External"/><Relationship Id="rId45" Type="http://schemas.openxmlformats.org/officeDocument/2006/relationships/hyperlink" Target="consultantplus://offline/ref=8F12D52D7CBBF71F111ABAE60EDA507B07BBA3A439FFAA3F0C293A5760732C465386DA46C52C0BE17ACD66B4A1s9M" TargetMode="External"/><Relationship Id="rId53" Type="http://schemas.openxmlformats.org/officeDocument/2006/relationships/hyperlink" Target="consultantplus://offline/ref=8F12D52D7CBBF71F111AB9F317DA507B05B8A5A738F4F73504703655677C73435497DA45C5320EE26DC432E454FEE9B2A2090C5A86D22C42A5sFM" TargetMode="External"/><Relationship Id="rId58" Type="http://schemas.openxmlformats.org/officeDocument/2006/relationships/hyperlink" Target="consultantplus://offline/ref=8F12D52D7CBBF71F111AB9F317DA507B05B8A5A738F4F73504703655677C73435497DA45C5330AE563C432E454FEE9B2A2090C5A86D22C42A5sFM" TargetMode="External"/><Relationship Id="rId5" Type="http://schemas.openxmlformats.org/officeDocument/2006/relationships/hyperlink" Target="consultantplus://offline/ref=8F12D52D7CBBF71F111AB9F317DA507B05BAA5A43AF3F73504703655677C73435497DA45C5330BE260C432E454FEE9B2A2090C5A86D22C42A5sFM" TargetMode="External"/><Relationship Id="rId15" Type="http://schemas.openxmlformats.org/officeDocument/2006/relationships/hyperlink" Target="consultantplus://offline/ref=8F12D52D7CBBF71F111AB9F317DA507B05BBA1A43FF4F73504703655677C73435497DA47C23201B7358B33B812ABFAB1A0090F5899ADs9M" TargetMode="External"/><Relationship Id="rId23" Type="http://schemas.openxmlformats.org/officeDocument/2006/relationships/hyperlink" Target="consultantplus://offline/ref=8F12D52D7CBBF71F111AB9F317DA507B05BBA1A431F7F73504703655677C734346978249C73214E266D164B511AAs2M" TargetMode="External"/><Relationship Id="rId28" Type="http://schemas.openxmlformats.org/officeDocument/2006/relationships/hyperlink" Target="consultantplus://offline/ref=8F12D52D7CBBF71F111AB9F317DA507B05BBA1A43FF4F73504703655677C73435497DA45C5320BE36DC432E454FEE9B2A2090C5A86D22C42A5sFM" TargetMode="External"/><Relationship Id="rId36" Type="http://schemas.openxmlformats.org/officeDocument/2006/relationships/hyperlink" Target="consultantplus://offline/ref=8F12D52D7CBBF71F111AB9F317DA507B05BBA3A63FF4F73504703655677C73435497DA45C5340AE16CC432E454FEE9B2A2090C5A86D22C42A5sFM" TargetMode="External"/><Relationship Id="rId49" Type="http://schemas.openxmlformats.org/officeDocument/2006/relationships/hyperlink" Target="consultantplus://offline/ref=8F12D52D7CBBF71F111AB9F317DA507B04B2A1A331F6F73504703655677C73435497DA42C1395EB2209A6BB710B5E5B2BC150D59A9s1M" TargetMode="External"/><Relationship Id="rId57" Type="http://schemas.openxmlformats.org/officeDocument/2006/relationships/hyperlink" Target="consultantplus://offline/ref=8F12D52D7CBBF71F111AB9F317DA507B05B8A5A738F4F73504703655677C73435497DA43C23501B7358B33B812ABFAB1A0090F5899ADs9M" TargetMode="External"/><Relationship Id="rId61" Type="http://schemas.openxmlformats.org/officeDocument/2006/relationships/hyperlink" Target="consultantplus://offline/ref=8F12D52D7CBBF71F111AB9F317DA507B05B8A5A738F4F73504703655677C73435497DA4CC43101B7358B33B812ABFAB1A0090F5899ADs9M" TargetMode="External"/><Relationship Id="rId10" Type="http://schemas.openxmlformats.org/officeDocument/2006/relationships/hyperlink" Target="consultantplus://offline/ref=8F12D52D7CBBF71F111AB9F317DA507B05BBA1A43FF4F73504703655677C73435497DA45C5320BE36CC432E454FEE9B2A2090C5A86D22C42A5sFM" TargetMode="External"/><Relationship Id="rId19" Type="http://schemas.openxmlformats.org/officeDocument/2006/relationships/hyperlink" Target="consultantplus://offline/ref=8F12D52D7CBBF71F111AB9F317DA507B05B8A5A738F4F73504703655677C73435497DA43C23501B7358B33B812ABFAB1A0090F5899ADs9M" TargetMode="External"/><Relationship Id="rId31" Type="http://schemas.openxmlformats.org/officeDocument/2006/relationships/hyperlink" Target="consultantplus://offline/ref=8F12D52D7CBBF71F111AB9F317DA507B05BBA1A43FF4F73504703655677C73435497DA45C53008E8309E22E01DA9E4AEA315135A98D1A2s5M" TargetMode="External"/><Relationship Id="rId44" Type="http://schemas.openxmlformats.org/officeDocument/2006/relationships/hyperlink" Target="consultantplus://offline/ref=8F12D52D7CBBF71F111AB9F317DA507B05BAA1A138F0F73504703655677C73435497DA45C5330AEB63C432E454FEE9B2A2090C5A86D22C42A5sFM" TargetMode="External"/><Relationship Id="rId52" Type="http://schemas.openxmlformats.org/officeDocument/2006/relationships/hyperlink" Target="consultantplus://offline/ref=8F12D52D7CBBF71F111AB9F317DA507B05BBA1A43FF4F73504703655677C734346978249C73214E266D164B511AAs2M" TargetMode="External"/><Relationship Id="rId60" Type="http://schemas.openxmlformats.org/officeDocument/2006/relationships/hyperlink" Target="consultantplus://offline/ref=8F12D52D7CBBF71F111AB9F317DA507B05B8A5A738F4F73504703655677C73435497DA43C23401B7358B33B812ABFAB1A0090F5899ADs9M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8F12D52D7CBBF71F111AA6E11ADA507B04BAA0AD30F0F73504703655677C734346978249C73214E266D164B511AAs2M" TargetMode="External"/><Relationship Id="rId9" Type="http://schemas.openxmlformats.org/officeDocument/2006/relationships/hyperlink" Target="consultantplus://offline/ref=8F12D52D7CBBF71F111AB9F317DA507B05BAA5A43AF3F73504703655677C73435497DA45C5320AEA6CC432E454FEE9B2A2090C5A86D22C42A5sFM" TargetMode="External"/><Relationship Id="rId14" Type="http://schemas.openxmlformats.org/officeDocument/2006/relationships/hyperlink" Target="consultantplus://offline/ref=8F12D52D7CBBF71F111AA6E11ADA507B04BAA0AD30F0F73504703655677C734346978249C73214E266D164B511AAs2M" TargetMode="External"/><Relationship Id="rId22" Type="http://schemas.openxmlformats.org/officeDocument/2006/relationships/hyperlink" Target="consultantplus://offline/ref=8F12D52D7CBBF71F111AB9F317DA507B05BBA1A43FF4F73504703655677C73435497DA45C5320AE167C432E454FEE9B2A2090C5A86D22C42A5sFM" TargetMode="External"/><Relationship Id="rId27" Type="http://schemas.openxmlformats.org/officeDocument/2006/relationships/hyperlink" Target="consultantplus://offline/ref=8F12D52D7CBBF71F111AB9F317DA507B05BBA1A43FF4F73504703655677C73435497DA45C5320AEA66C432E454FEE9B2A2090C5A86D22C42A5sFM" TargetMode="External"/><Relationship Id="rId30" Type="http://schemas.openxmlformats.org/officeDocument/2006/relationships/hyperlink" Target="consultantplus://offline/ref=8F12D52D7CBBF71F111AB9F317DA507B05BBA1A43FF4F73504703655677C734346978249C73214E266D164B511AAs2M" TargetMode="External"/><Relationship Id="rId35" Type="http://schemas.openxmlformats.org/officeDocument/2006/relationships/hyperlink" Target="consultantplus://offline/ref=8F12D52D7CBBF71F111ABAE60EDA507B07BBA3A439FFAA3F0C293A5760732C465386DA46C52C0BE17ACD66B4A1s9M" TargetMode="External"/><Relationship Id="rId43" Type="http://schemas.openxmlformats.org/officeDocument/2006/relationships/hyperlink" Target="consultantplus://offline/ref=8F12D52D7CBBF71F111AB4E002DA507B03BBA1A638F1F73504703655677C73435497DA45C5320AE36DC432E454FEE9B2A2090C5A86D22C42A5sFM" TargetMode="External"/><Relationship Id="rId48" Type="http://schemas.openxmlformats.org/officeDocument/2006/relationships/hyperlink" Target="consultantplus://offline/ref=8F12D52D7CBBF71F111AB9F317DA507B05BBA1A43FF4F73504703655677C73435497DA45C5330BE26CC432E454FEE9B2A2090C5A86D22C42A5sFM" TargetMode="External"/><Relationship Id="rId56" Type="http://schemas.openxmlformats.org/officeDocument/2006/relationships/hyperlink" Target="consultantplus://offline/ref=8F12D52D7CBBF71F111AA6E11ADA507B04BAA0AD30F0F73504703655677C734346978249C73214E266D164B511AAs2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F12D52D7CBBF71F111ABAE60EDA507B07BBA3A439FFAA3F0C293A5760732C465386DA46C52C0BE17ACD66B4A1s9M" TargetMode="External"/><Relationship Id="rId51" Type="http://schemas.openxmlformats.org/officeDocument/2006/relationships/hyperlink" Target="consultantplus://offline/ref=8F12D52D7CBBF71F111AB9F317DA507B05BBA1A43FF4F73504703655677C73435497DA45C5330FE76CC432E454FEE9B2A2090C5A86D22C42A5s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12D52D7CBBF71F111AB9F317DA507B05BBA1A43FF4F73504703655677C73435497DA45C5330AEB6CC432E454FEE9B2A2090C5A86D22C42A5sFM" TargetMode="External"/><Relationship Id="rId17" Type="http://schemas.openxmlformats.org/officeDocument/2006/relationships/hyperlink" Target="consultantplus://offline/ref=8F12D52D7CBBF71F111AA6E11ADA507B04BAA0AD30F0F73504703655677C734346978249C73214E266D164B511AAs2M" TargetMode="External"/><Relationship Id="rId25" Type="http://schemas.openxmlformats.org/officeDocument/2006/relationships/hyperlink" Target="consultantplus://offline/ref=8F12D52D7CBBF71F111AB9F317DA507B05BBA1A431F7F73504703655677C73435497DA45C5310EE16CC432E454FEE9B2A2090C5A86D22C42A5sFM" TargetMode="External"/><Relationship Id="rId33" Type="http://schemas.openxmlformats.org/officeDocument/2006/relationships/hyperlink" Target="consultantplus://offline/ref=8F12D52D7CBBF71F111ABAE60EDA507B07BBA3A439FFAA3F0C293A5760732C465386DA46C52C0BE17ACD66B4A1s9M" TargetMode="External"/><Relationship Id="rId38" Type="http://schemas.openxmlformats.org/officeDocument/2006/relationships/hyperlink" Target="consultantplus://offline/ref=8F12D52D7CBBF71F111ABAE60EDA507B07BBA3A439FFAA3F0C293A5760732C465386DA46C52C0BE17ACD66B4A1s9M" TargetMode="External"/><Relationship Id="rId46" Type="http://schemas.openxmlformats.org/officeDocument/2006/relationships/hyperlink" Target="consultantplus://offline/ref=8F12D52D7CBBF71F111AB9F317DA507B05BBA1A43FF4F73504703655677C73435497DA45C5320AEA6CC432E454FEE9B2A2090C5A86D22C42A5sFM" TargetMode="External"/><Relationship Id="rId59" Type="http://schemas.openxmlformats.org/officeDocument/2006/relationships/hyperlink" Target="consultantplus://offline/ref=8F12D52D7CBBF71F111AB9F317DA507B05B8A5A738F4F73504703655677C73435497DA45C5330BE265C432E454FEE9B2A2090C5A86D22C42A5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4312</Words>
  <Characters>24579</Characters>
  <Application>Microsoft Office Word</Application>
  <DocSecurity>0</DocSecurity>
  <Lines>204</Lines>
  <Paragraphs>57</Paragraphs>
  <ScaleCrop>false</ScaleCrop>
  <Company/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2019-12-20T12:44:00Z</dcterms:created>
  <dcterms:modified xsi:type="dcterms:W3CDTF">2019-12-20T12:44:00Z</dcterms:modified>
</cp:coreProperties>
</file>