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EB7D" w14:textId="77777777" w:rsidR="007A4EDA" w:rsidRDefault="007A4EDA">
      <w:pPr>
        <w:pStyle w:val="ConsPlusTitle"/>
        <w:jc w:val="center"/>
      </w:pPr>
      <w:r>
        <w:t>ЦЕНТРАЛЬНЫЙ БАНК РОССИЙСКОЙ ФЕДЕРАЦИИ</w:t>
      </w:r>
    </w:p>
    <w:p w14:paraId="3AF0EB8F" w14:textId="77777777" w:rsidR="007A4EDA" w:rsidRDefault="007A4EDA">
      <w:pPr>
        <w:pStyle w:val="ConsPlusTitle"/>
        <w:jc w:val="center"/>
      </w:pPr>
    </w:p>
    <w:p w14:paraId="47899BEC" w14:textId="77777777" w:rsidR="007A4EDA" w:rsidRDefault="007A4EDA">
      <w:pPr>
        <w:pStyle w:val="ConsPlusTitle"/>
        <w:jc w:val="center"/>
      </w:pPr>
      <w:r>
        <w:t>ИНФОРМАЦИЯ</w:t>
      </w:r>
    </w:p>
    <w:p w14:paraId="052F97D0" w14:textId="77777777" w:rsidR="007A4EDA" w:rsidRDefault="007A4EDA">
      <w:pPr>
        <w:pStyle w:val="ConsPlusTitle"/>
        <w:jc w:val="center"/>
      </w:pPr>
      <w:r>
        <w:t>от 24 июля 2020 года</w:t>
      </w:r>
    </w:p>
    <w:p w14:paraId="0DDFA955" w14:textId="77777777" w:rsidR="007A4EDA" w:rsidRDefault="007A4EDA">
      <w:pPr>
        <w:pStyle w:val="ConsPlusTitle"/>
        <w:jc w:val="center"/>
      </w:pPr>
    </w:p>
    <w:p w14:paraId="586FE025" w14:textId="77777777" w:rsidR="007A4EDA" w:rsidRDefault="007A4EDA">
      <w:pPr>
        <w:pStyle w:val="ConsPlusTitle"/>
        <w:jc w:val="center"/>
      </w:pPr>
      <w:r>
        <w:t>БАНК РОССИИ ПРИНЯЛ РЕШЕНИЕ</w:t>
      </w:r>
    </w:p>
    <w:p w14:paraId="56F6C31B" w14:textId="77777777" w:rsidR="007A4EDA" w:rsidRDefault="007A4EDA">
      <w:pPr>
        <w:pStyle w:val="ConsPlusTitle"/>
        <w:jc w:val="center"/>
      </w:pPr>
      <w:r>
        <w:t>СНИЗИТЬ КЛЮЧЕВУЮ СТАВКУ НА 25 Б.П., ДО 4,25% ГОДОВЫХ</w:t>
      </w:r>
    </w:p>
    <w:p w14:paraId="53A7D094" w14:textId="77777777" w:rsidR="007A4EDA" w:rsidRDefault="007A4EDA">
      <w:pPr>
        <w:pStyle w:val="ConsPlusNormal"/>
        <w:jc w:val="both"/>
      </w:pPr>
    </w:p>
    <w:p w14:paraId="67F99B93" w14:textId="77777777" w:rsidR="007A4EDA" w:rsidRDefault="007A4EDA">
      <w:pPr>
        <w:pStyle w:val="ConsPlusNormal"/>
        <w:ind w:firstLine="540"/>
        <w:jc w:val="both"/>
      </w:pPr>
      <w:r>
        <w:t xml:space="preserve">Совет директоров Банка России 24 июля 2020 года принял решение снизить ключевую ставку на 25 </w:t>
      </w:r>
      <w:proofErr w:type="spellStart"/>
      <w:r>
        <w:t>б.п</w:t>
      </w:r>
      <w:proofErr w:type="spellEnd"/>
      <w:r>
        <w:t xml:space="preserve">., до 4,25% годовых. </w:t>
      </w:r>
      <w:proofErr w:type="spellStart"/>
      <w:r>
        <w:t>Дезинфляционные</w:t>
      </w:r>
      <w:proofErr w:type="spellEnd"/>
      <w:r>
        <w:t xml:space="preserve"> факторы продолжают оказывать значительное влияние на инфляцию. После снижения в мае - июне инфляционные ожидания населения и бизнеса в целом стабилизировались. Хотя смягчение ограничительных мер способствует оживлению экономической активности, восстановление мировой и российской экономики будет постепенным. В этих условиях сохраняется риск отклонения инфляции вниз от 4% в 2021 году. Реализованное с апреля существенное смягчение денежно-кредитной политики направлено на ограничение этого риска и стабилизацию инфляции вблизи 4% на прогнозном горизонте. По прогнозу Банка России, с учетом проводимой денежно-кредитной политики годовая инфляция составит 3,7 - 4,2% в 2020 году, 3,5 - 4,0% в 2021 году и будет находиться вблизи 4% в дальнейшем.</w:t>
      </w:r>
    </w:p>
    <w:p w14:paraId="6DD24020" w14:textId="77777777" w:rsidR="007A4EDA" w:rsidRDefault="007A4EDA">
      <w:pPr>
        <w:pStyle w:val="ConsPlusNormal"/>
        <w:spacing w:before="220"/>
        <w:ind w:firstLine="540"/>
        <w:jc w:val="both"/>
      </w:pPr>
      <w:r>
        <w:t>При развитии ситуации в соответствии с базовым прогнозом Банк России будет оценивать целесообразность дальнейшего снижения ключевой ставки на ближайших заседаниях. Банк России будет принимать решения по ключевой ставке с учетом фактической и ожидаемой динамики инфляции относительно цели, развития экономики на прогнозном горизонте, а также оценивая риски со стороны внутренних и внешних условий и реакции на них финансовых рынков.</w:t>
      </w:r>
    </w:p>
    <w:p w14:paraId="35F2F0C7" w14:textId="77777777" w:rsidR="007A4EDA" w:rsidRDefault="007A4EDA">
      <w:pPr>
        <w:pStyle w:val="ConsPlusNormal"/>
        <w:spacing w:before="220"/>
        <w:ind w:firstLine="540"/>
        <w:jc w:val="both"/>
      </w:pPr>
      <w:r>
        <w:t xml:space="preserve">Динамика инфляции в этом году и в первой половине 2021 года будет во многом формироваться под влиянием произошедшего в II квартале глубокого падения внутреннего и внешнего спроса. </w:t>
      </w:r>
      <w:proofErr w:type="spellStart"/>
      <w:r>
        <w:t>Дезинфляционное</w:t>
      </w:r>
      <w:proofErr w:type="spellEnd"/>
      <w:r>
        <w:t xml:space="preserve"> влияние слабого спроса связано с экономическими эффектами ограничений. Произошедшее с апреля укрепление рубля во многом компенсировало его ослабление в марте, ограничивая повышательное влияние валютного курса на потребительские цены. После снижения в мае - июне инфляционные ожидания населения и бизнеса в целом стабилизировались.</w:t>
      </w:r>
    </w:p>
    <w:p w14:paraId="440BE486" w14:textId="77777777" w:rsidR="007A4EDA" w:rsidRDefault="007A4EDA">
      <w:pPr>
        <w:pStyle w:val="ConsPlusNormal"/>
        <w:spacing w:before="220"/>
        <w:ind w:firstLine="540"/>
        <w:jc w:val="both"/>
      </w:pPr>
      <w:r>
        <w:t>В июне динамика потребительских цен была неоднородной. Это в том числе связано с постепенным, неравномерным восстановлением предложения товаров и услуг и реализацией отложенного спроса в условиях поэтапного смягчения режима самоизоляции. Поддержку потреблению также оказали меры бюджетной политики. При этом увеличение годовой инфляции до 3,2% в июне (после 3,0% в мае) в значительной мере объясняется эффектом базы, в первую очередь в динамике цен на плодоовощную продукцию. По оценке на 20 июля, годовая инфляция составила около 3,3%.</w:t>
      </w:r>
    </w:p>
    <w:p w14:paraId="174AC78B" w14:textId="77777777" w:rsidR="007A4EDA" w:rsidRDefault="007A4EDA">
      <w:pPr>
        <w:pStyle w:val="ConsPlusNormal"/>
        <w:spacing w:before="220"/>
        <w:ind w:firstLine="540"/>
        <w:jc w:val="both"/>
      </w:pPr>
      <w:r>
        <w:t>Показатели месячных темпов роста потребительских цен, отражающие наиболее устойчивые процессы ценовой динамики, по оценкам Банка России, находятся вблизи или ниже 4% в годовом выражении. Месячный прирост цен с исключением сезонности продолжил снижаться в июне и останется на пониженном уровне до конца текущего года на фоне сдержанного спроса. При этом показатель годовой инфляции продолжит увеличиваться в 2020 году из-за эффекта низкой базы 2019 года.</w:t>
      </w:r>
    </w:p>
    <w:p w14:paraId="2AD5D153" w14:textId="77777777" w:rsidR="007A4EDA" w:rsidRDefault="007A4EDA">
      <w:pPr>
        <w:pStyle w:val="ConsPlusNormal"/>
        <w:spacing w:before="220"/>
        <w:ind w:firstLine="540"/>
        <w:jc w:val="both"/>
      </w:pPr>
      <w:r>
        <w:t xml:space="preserve">В условиях преобладающего влияния </w:t>
      </w:r>
      <w:proofErr w:type="spellStart"/>
      <w:r>
        <w:t>дезинфляционных</w:t>
      </w:r>
      <w:proofErr w:type="spellEnd"/>
      <w:r>
        <w:t xml:space="preserve"> факторов сохраняется риск отклонения инфляции вниз от цели 4% в 2021 году. Реализованное с апреля существенное смягчение денежно-кредитной политики направлено на ограничение этого риска и стабилизацию инфляции вблизи 4% на прогнозном горизонте. По прогнозу Банка России, с учетом проводимой денежно-кредитной политики годовая инфляция составит 3,7 - 4,2% в 2020 году, 3,5 - 4,0% в 2021 году и останется вблизи 4% в дальнейшем.</w:t>
      </w:r>
    </w:p>
    <w:p w14:paraId="67CC2EF9" w14:textId="77777777" w:rsidR="007A4EDA" w:rsidRDefault="007A4EDA">
      <w:pPr>
        <w:pStyle w:val="ConsPlusNormal"/>
        <w:spacing w:before="220"/>
        <w:ind w:firstLine="540"/>
        <w:jc w:val="both"/>
      </w:pPr>
      <w:r>
        <w:lastRenderedPageBreak/>
        <w:t>Денежно-кредитные условия в целом смягчились с момента предыдущего заседания Совета директоров Банка России. При этом динамика процентных ставок в различных сегментах внутреннего финансового рынка была разнонаправленной. Снизились кредитные и депозитные ставки, в том числе под влиянием принятых ранее решений о снижении ключевой ставки. Спреды доходностей корпоративных облигаций к ОФЗ уменьшились, приблизившись к уровням начала года. Вместе с тем повышенные кредитные риски ограничивают снижение процентных ставок. Продолжилось ужесточение неценовых условий кредитования в ряде сегментов рынка. Принятые Банком России решения о снижении ключевой ставки и существенное уменьшение доходностей на рынке ОФЗ по сравнению с уровнями марта - апреля создают условия для дальнейшего снижения процентных ставок в других сегментах финансового рынка. Это наряду с мерами Правительства, а также другими мерами Банка России поддерживает кредитование, в том числе в наиболее уязвимых секторах экономики. Объем депозитов продолжает расти при сохранении положительных реальных процентных ставок по ним с учетом ожидаемой инфляции.</w:t>
      </w:r>
    </w:p>
    <w:p w14:paraId="1F32EDC9" w14:textId="77777777" w:rsidR="007A4EDA" w:rsidRDefault="007A4EDA">
      <w:pPr>
        <w:pStyle w:val="ConsPlusNormal"/>
        <w:spacing w:before="220"/>
        <w:ind w:firstLine="540"/>
        <w:jc w:val="both"/>
      </w:pPr>
      <w:r>
        <w:t>Экономическая активность. Восстановление российской экономики будет постепенным с учетом поэтапного снятия ограничительных мер. Происходящее оживление деловой активности в целом остается сдержанным и неоднородным по отраслям и регионам. В июне замедлились падение промышленного производства, сокращение объемов заказов на внешнем и внутреннем рынках, а также рост безработицы. Косвенные индикаторы свидетельствуют о некотором оживлении инвестиционной активности. Продолжается восстановление сферы услуг и розничной торговли. Потребительский спрос поддержали меры бюджетной политики. Вместе с тем слабый внешний спрос наряду с ограничениями в рамках сделки ОПЕК+ отражается в снижении экспорта, что вносит негативный вклад в динамику экономической активности. Траектория дальнейшего восстановления экономики может быть неустойчивой в связи с произошедшим падением доходов, сдержанным поведением потребителей, осторожными настроениями бизнеса, а также ограничениями со стороны внешнего спроса.</w:t>
      </w:r>
    </w:p>
    <w:p w14:paraId="7FD8FE00" w14:textId="77777777" w:rsidR="007A4EDA" w:rsidRDefault="007A4EDA">
      <w:pPr>
        <w:pStyle w:val="ConsPlusNormal"/>
        <w:spacing w:before="220"/>
        <w:ind w:firstLine="540"/>
        <w:jc w:val="both"/>
      </w:pPr>
      <w:r>
        <w:t>В этих условиях ВВП снизится на 4,5 - 5,5% в 2020 году. В дальнейшем прогнозируется восстановительный рост российской экономики на 3,5 - 4,5% в 2021 году и 2,5 - 3,5% в 2022 году. Поддержку российской экономике оказывают меры Правительства и Банка России по ограничению экономических последствий пандемии коронавируса, в том числе смягчение денежно-кредитной политики, а также регуляторные меры Банка России.</w:t>
      </w:r>
    </w:p>
    <w:p w14:paraId="429538DE" w14:textId="77777777" w:rsidR="007A4EDA" w:rsidRDefault="007A4EDA">
      <w:pPr>
        <w:pStyle w:val="ConsPlusNormal"/>
        <w:spacing w:before="220"/>
        <w:ind w:firstLine="540"/>
        <w:jc w:val="both"/>
      </w:pPr>
      <w:r>
        <w:t xml:space="preserve">Инфляционные риски. </w:t>
      </w:r>
      <w:proofErr w:type="spellStart"/>
      <w:r>
        <w:t>Дезинфляционные</w:t>
      </w:r>
      <w:proofErr w:type="spellEnd"/>
      <w:r>
        <w:t xml:space="preserve"> риски преобладают над </w:t>
      </w:r>
      <w:proofErr w:type="spellStart"/>
      <w:r>
        <w:t>проинфляционными</w:t>
      </w:r>
      <w:proofErr w:type="spellEnd"/>
      <w:r>
        <w:t xml:space="preserve">. </w:t>
      </w:r>
      <w:proofErr w:type="spellStart"/>
      <w:r>
        <w:t>Дезинфляционные</w:t>
      </w:r>
      <w:proofErr w:type="spellEnd"/>
      <w:r>
        <w:t xml:space="preserve"> риски для базового сценария в основном связаны с неопределенностью относительно дальнейшего развития ситуации с пандемией коронавируса в России и в мире, масштабов возможных мер борьбы с ней и их влияния на экономическую активность, а также скорости восстановления мировой и российской экономики в результате смягчения ограничительных мер. Сдерживающее влияние на динамику инфляции могут также оказать устойчивые изменения в предпочтениях и поведении населения, а также сопутствующее повышение склонности к сбережению.</w:t>
      </w:r>
    </w:p>
    <w:p w14:paraId="71B361A8" w14:textId="77777777" w:rsidR="007A4EDA" w:rsidRDefault="007A4EDA">
      <w:pPr>
        <w:pStyle w:val="ConsPlusNormal"/>
        <w:spacing w:before="220"/>
        <w:ind w:firstLine="540"/>
        <w:jc w:val="both"/>
      </w:pPr>
      <w:r>
        <w:t xml:space="preserve">На краткосрочном горизонте ряд факторов может оказать повышательное давление на цены, в частности нарушение логистических цепочек в условиях сохраняющихся ограничений, а также дополнительные издержки предприятий, связанные с защитой работников и потребителей от угрозы распространения коронавируса. Краткосрочные </w:t>
      </w:r>
      <w:proofErr w:type="spellStart"/>
      <w:r>
        <w:t>проинфляционные</w:t>
      </w:r>
      <w:proofErr w:type="spellEnd"/>
      <w:r>
        <w:t xml:space="preserve"> риски могут также быть связаны с большей, чем предполагается в базовом сценарии, реализацией отложенного спроса на товары и услуги. Периоды усиления волатильности на глобальных рынках могут отражаться на курсовых и инфляционных ожиданиях.</w:t>
      </w:r>
    </w:p>
    <w:p w14:paraId="09B64F0A" w14:textId="77777777" w:rsidR="007A4EDA" w:rsidRDefault="007A4EDA">
      <w:pPr>
        <w:pStyle w:val="ConsPlusNormal"/>
        <w:spacing w:before="220"/>
        <w:ind w:firstLine="540"/>
        <w:jc w:val="both"/>
      </w:pPr>
      <w:r>
        <w:t>На среднесрочную динамику инфляции будет значимо влиять бюджетная политика, в частности масштаб и эффективность мер, принимаемых Правительством для смягчения последствий пандемии коронавируса и преодоления структурных ограничений, а также скорость бюджетной консолидации в 2021 - 2022 годах.</w:t>
      </w:r>
    </w:p>
    <w:p w14:paraId="3202E06A" w14:textId="77777777" w:rsidR="007A4EDA" w:rsidRDefault="007A4EDA">
      <w:pPr>
        <w:pStyle w:val="ConsPlusNormal"/>
        <w:spacing w:before="220"/>
        <w:ind w:firstLine="540"/>
        <w:jc w:val="both"/>
      </w:pPr>
      <w:r>
        <w:lastRenderedPageBreak/>
        <w:t>При развитии ситуации в соответствии с базовым прогнозом Банк России будет оценивать целесообразность дальнейшего снижения ключевой ставки на ближайших заседаниях. Банк России будет принимать решения по ключевой ставке с учетом фактической и ожидаемой динамики инфляции относительно цели, развития экономики на прогнозном горизонте, а также оценивая риски со стороны внутренних и внешних условий и реакции на них финансовых рынков.</w:t>
      </w:r>
    </w:p>
    <w:p w14:paraId="33681BAC" w14:textId="77777777" w:rsidR="007A4EDA" w:rsidRDefault="007A4EDA">
      <w:pPr>
        <w:pStyle w:val="ConsPlusNormal"/>
        <w:spacing w:before="220"/>
        <w:ind w:firstLine="540"/>
        <w:jc w:val="both"/>
      </w:pPr>
      <w:r>
        <w:t>По итогам заседания Совета директоров по ключевой ставке 24 июля 2020 года Банк России опубликовал среднесрочный прогноз.</w:t>
      </w:r>
    </w:p>
    <w:p w14:paraId="3BFA752B" w14:textId="77777777" w:rsidR="007A4EDA" w:rsidRDefault="007A4EDA">
      <w:pPr>
        <w:pStyle w:val="ConsPlusNormal"/>
        <w:spacing w:before="220"/>
        <w:ind w:firstLine="540"/>
        <w:jc w:val="both"/>
      </w:pPr>
      <w:r>
        <w:t>Следующее заседание Совета директоров Банка России, на котором будет рассматриваться вопрос об уровне ключевой ставки, запланировано на 18 сентября 2020 года. Время публикации пресс-релиза о решении Совета директоров Банка России - 13:30 по московскому времени.</w:t>
      </w:r>
    </w:p>
    <w:p w14:paraId="126DCABD" w14:textId="77777777" w:rsidR="007A4EDA" w:rsidRDefault="007A4EDA">
      <w:pPr>
        <w:pStyle w:val="ConsPlusNormal"/>
        <w:jc w:val="both"/>
      </w:pPr>
    </w:p>
    <w:p w14:paraId="19077F84" w14:textId="77777777" w:rsidR="007A4EDA" w:rsidRDefault="007A4EDA">
      <w:pPr>
        <w:pStyle w:val="ConsPlusNormal"/>
        <w:jc w:val="both"/>
      </w:pPr>
    </w:p>
    <w:p w14:paraId="4FB3B009" w14:textId="77777777" w:rsidR="007A4EDA" w:rsidRDefault="007A4E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75353E" w14:textId="77777777" w:rsidR="00B56A44" w:rsidRDefault="00B56A44"/>
    <w:sectPr w:rsidR="00B56A44" w:rsidSect="00E2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DA"/>
    <w:rsid w:val="007A4EDA"/>
    <w:rsid w:val="00B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0506"/>
  <w15:chartTrackingRefBased/>
  <w15:docId w15:val="{B5390F1C-55FE-451D-9516-FC757112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2020-07-30T07:33:00Z</dcterms:created>
  <dcterms:modified xsi:type="dcterms:W3CDTF">2020-07-30T07:34:00Z</dcterms:modified>
</cp:coreProperties>
</file>