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542F2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 xml:space="preserve"> январь</w:t>
            </w:r>
            <w:r w:rsidR="00080B38">
              <w:rPr>
                <w:rFonts w:ascii="PT Astra Serif" w:hAnsi="PT Astra Serif"/>
                <w:b/>
                <w:sz w:val="48"/>
                <w:szCs w:val="48"/>
              </w:rPr>
              <w:t>-</w:t>
            </w:r>
            <w:r w:rsidR="00C67DA6">
              <w:rPr>
                <w:rFonts w:ascii="PT Astra Serif" w:hAnsi="PT Astra Serif"/>
                <w:b/>
                <w:sz w:val="48"/>
                <w:szCs w:val="48"/>
              </w:rPr>
              <w:t>сентябрь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20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  <w:r>
              <w:rPr>
                <w:rFonts w:ascii="PT Astra Serif" w:hAnsi="PT Astra Serif"/>
                <w:b/>
                <w:sz w:val="48"/>
                <w:szCs w:val="48"/>
              </w:rPr>
              <w:t>а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4F6A21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16"/>
          <w:szCs w:val="16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>, в том числе согласно информации, полученной из единой информационной системы в сфере закупок,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>на диаграммах 1</w:t>
      </w:r>
      <w:r w:rsidR="00AE0F68" w:rsidRPr="00D04553">
        <w:rPr>
          <w:rFonts w:ascii="PT Astra Serif" w:hAnsi="PT Astra Serif"/>
          <w:sz w:val="28"/>
        </w:rPr>
        <w:t>-</w:t>
      </w:r>
      <w:r w:rsidR="00424062" w:rsidRPr="00D04553">
        <w:rPr>
          <w:rFonts w:ascii="PT Astra Serif" w:hAnsi="PT Astra Serif"/>
          <w:sz w:val="28"/>
        </w:rPr>
        <w:t>9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отчету).</w:t>
      </w:r>
    </w:p>
    <w:p w:rsidR="00D67207" w:rsidRPr="004F6A21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региональной информационной </w:t>
      </w:r>
      <w:r w:rsidR="00FB3DD7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0A7693">
        <w:rPr>
          <w:rFonts w:ascii="PT Astra Serif" w:hAnsi="PT Astra Serif"/>
          <w:sz w:val="28"/>
          <w:szCs w:val="28"/>
        </w:rPr>
        <w:br/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«АЦК-Госзаказ» (далее </w:t>
      </w:r>
      <w:r w:rsidR="00FB3DD7">
        <w:rPr>
          <w:rFonts w:ascii="PT Astra Serif" w:hAnsi="PT Astra Serif"/>
          <w:sz w:val="28"/>
          <w:szCs w:val="28"/>
          <w:lang w:eastAsia="ru-RU"/>
        </w:rPr>
        <w:t>–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заказчики, Закон № 44-ФЗ</w:t>
      </w:r>
      <w:r w:rsidR="00FB3DD7">
        <w:rPr>
          <w:rFonts w:ascii="PT Astra Serif" w:hAnsi="PT Astra Serif"/>
          <w:sz w:val="28"/>
          <w:szCs w:val="28"/>
          <w:lang w:eastAsia="ru-RU"/>
        </w:rPr>
        <w:t xml:space="preserve">, РИС </w:t>
      </w:r>
      <w:proofErr w:type="spellStart"/>
      <w:r w:rsidR="00FB3DD7">
        <w:rPr>
          <w:rFonts w:ascii="PT Astra Serif" w:hAnsi="PT Astra Serif"/>
          <w:sz w:val="28"/>
          <w:szCs w:val="28"/>
          <w:lang w:eastAsia="ru-RU"/>
        </w:rPr>
        <w:t>АЦК-Госзаказ</w:t>
      </w:r>
      <w:proofErr w:type="spellEnd"/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 соответственно)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 xml:space="preserve">проведен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 xml:space="preserve">256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планов-графиков государственных заказчиков Ульяновской области на 2020 год на предмет наличия планов-графиков в единой информационной системе в сфере закупок (далее – ЕИС). </w:t>
      </w:r>
    </w:p>
    <w:p w:rsidR="007A7A50" w:rsidRDefault="007A7A50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23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080B38" w:rsidRPr="00E424B1" w:rsidRDefault="00F3774C" w:rsidP="00DD52EC">
      <w:pPr>
        <w:widowControl w:val="0"/>
        <w:numPr>
          <w:ilvl w:val="0"/>
          <w:numId w:val="23"/>
        </w:numPr>
        <w:suppressAutoHyphens/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нформация по 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объему несостоявших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государственных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ок </w:t>
      </w:r>
      <w:r w:rsidR="00080B38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лекарственных препаратов и медицинских изделий в 2019 году</w:t>
      </w:r>
      <w:r w:rsidR="0076346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D52EC" w:rsidRPr="00E424B1" w:rsidRDefault="00F3774C" w:rsidP="00DD52EC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 по государственным закупкам (проведенным и запланированным) отрасли здравоохранения Ульяновской области на бюджет 2020 года.</w:t>
      </w:r>
    </w:p>
    <w:p w:rsidR="00DD52EC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налитическая справка по объемам запланированных и проведенныхМинистерством здравоохранения Ульяновской области и подведомственными ему лечебными учреждениями закупок на выделенные лимиты 2020 года.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объеме экономии по проведенным конкурентным процедурам на бюджет 2020 года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источников финансирования 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3F2A7F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А</w:t>
      </w:r>
      <w:r w:rsidR="00C05E22" w:rsidRPr="00E424B1">
        <w:rPr>
          <w:rFonts w:ascii="PT Astra Serif" w:hAnsi="PT Astra Serif"/>
          <w:sz w:val="28"/>
          <w:szCs w:val="28"/>
        </w:rPr>
        <w:t>налитическая справка по объектному составу закупок на бюджет 2019 года, осуществленных муниципальными образованиями Ульяновской области с предоставлением преимуществ субъектам малого предпринимательства.</w:t>
      </w:r>
    </w:p>
    <w:p w:rsidR="00F3774C" w:rsidRDefault="002324C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424B1">
        <w:rPr>
          <w:rFonts w:ascii="PT Astra Serif" w:hAnsi="PT Astra Serif"/>
          <w:sz w:val="28"/>
          <w:szCs w:val="28"/>
        </w:rPr>
        <w:t>Информация</w:t>
      </w:r>
      <w:r>
        <w:rPr>
          <w:rFonts w:ascii="PT Astra Serif" w:hAnsi="PT Astra Serif"/>
          <w:sz w:val="28"/>
          <w:szCs w:val="28"/>
        </w:rPr>
        <w:t xml:space="preserve"> по мерам поддержки субъектов малого предпринимательства (еженедельно) (в соответствии с перечнем поручений Правительств</w:t>
      </w:r>
      <w:r w:rsidR="00B02420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РФ от 26.04.2020 № ММ-П43-4054кв, </w:t>
      </w:r>
      <w:r w:rsidR="00F054A2" w:rsidRPr="00F054A2">
        <w:rPr>
          <w:rFonts w:ascii="PT Astra Serif" w:hAnsi="PT Astra Serif"/>
          <w:sz w:val="28"/>
          <w:szCs w:val="28"/>
        </w:rPr>
        <w:t>распоряжением</w:t>
      </w:r>
      <w:r w:rsidRPr="002324CC">
        <w:rPr>
          <w:rFonts w:ascii="PT Astra Serif" w:hAnsi="PT Astra Serif"/>
          <w:sz w:val="28"/>
          <w:szCs w:val="28"/>
        </w:rPr>
        <w:t>Губернатор</w:t>
      </w:r>
      <w:r>
        <w:rPr>
          <w:rFonts w:ascii="PT Astra Serif" w:hAnsi="PT Astra Serif"/>
          <w:sz w:val="28"/>
          <w:szCs w:val="28"/>
        </w:rPr>
        <w:t>а</w:t>
      </w:r>
      <w:r w:rsidRPr="002324C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054A2" w:rsidRPr="00F054A2">
        <w:rPr>
          <w:rFonts w:ascii="PT Astra Serif" w:hAnsi="PT Astra Serif"/>
          <w:sz w:val="28"/>
          <w:szCs w:val="28"/>
        </w:rPr>
        <w:t xml:space="preserve"> от 01.06.2020 469-р «Об утверждении плана действий по нормализации деловой жизни, восстановлению занятости, доходов граждан и роста экономики»</w:t>
      </w:r>
      <w:r>
        <w:rPr>
          <w:rFonts w:ascii="PT Astra Serif" w:hAnsi="PT Astra Serif"/>
          <w:sz w:val="28"/>
          <w:szCs w:val="28"/>
        </w:rPr>
        <w:t>).</w:t>
      </w:r>
    </w:p>
    <w:p w:rsidR="00C05E22" w:rsidRPr="00F67B64" w:rsidRDefault="00C05E22" w:rsidP="00C05E22">
      <w:pPr>
        <w:spacing w:after="0" w:line="240" w:lineRule="auto"/>
        <w:ind w:left="1069"/>
        <w:jc w:val="both"/>
        <w:rPr>
          <w:rFonts w:ascii="PT Astra Serif" w:hAnsi="PT Astra Serif"/>
          <w:sz w:val="16"/>
          <w:szCs w:val="16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 xml:space="preserve">осуществляется обучение/консультирование заказчиков(пользователей)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21.01.2020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t xml:space="preserve">Использование юридически значимого электронного документооборота 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</w:rPr>
              <w:br/>
              <w:t>в АЦК-Госзаказ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E424B1" w:rsidRPr="00300929" w:rsidTr="00E424B1">
        <w:trPr>
          <w:trHeight w:val="270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7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264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sz w:val="24"/>
                <w:szCs w:val="24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31.01.2020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E424B1" w:rsidRPr="00300929" w:rsidRDefault="00E424B1" w:rsidP="00B4250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11.02.2020</w:t>
            </w:r>
          </w:p>
        </w:tc>
        <w:tc>
          <w:tcPr>
            <w:tcW w:w="5529" w:type="dxa"/>
            <w:vMerge/>
          </w:tcPr>
          <w:p w:rsidR="00E424B1" w:rsidRPr="00300929" w:rsidRDefault="00E424B1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E424B1" w:rsidRPr="00300929" w:rsidTr="00E424B1">
        <w:trPr>
          <w:trHeight w:val="253"/>
        </w:trPr>
        <w:tc>
          <w:tcPr>
            <w:tcW w:w="709" w:type="dxa"/>
          </w:tcPr>
          <w:p w:rsidR="00E424B1" w:rsidRPr="00300929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06.07.2020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Самостоятельное размещение закупок до 300 тысяч рублей, с использованием РИС «АЦК-Госзаказ», составление протоколов по закупкам на электронных торговых площадках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16</w:t>
            </w:r>
          </w:p>
        </w:tc>
      </w:tr>
      <w:tr w:rsidR="00E424B1" w:rsidRPr="00300929" w:rsidTr="00E424B1">
        <w:trPr>
          <w:trHeight w:val="275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23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21.07.2020 </w:t>
            </w:r>
          </w:p>
        </w:tc>
        <w:tc>
          <w:tcPr>
            <w:tcW w:w="5529" w:type="dxa"/>
            <w:vMerge w:val="restart"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  <w:t>Создание Заявок на закупку с учётом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30-р.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37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21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424B1" w:rsidRPr="00300929" w:rsidTr="00E424B1">
        <w:trPr>
          <w:trHeight w:val="126"/>
        </w:trPr>
        <w:tc>
          <w:tcPr>
            <w:tcW w:w="709" w:type="dxa"/>
          </w:tcPr>
          <w:p w:rsidR="00E424B1" w:rsidRPr="00300929" w:rsidRDefault="00E424B1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30.07.2020</w:t>
            </w:r>
          </w:p>
        </w:tc>
        <w:tc>
          <w:tcPr>
            <w:tcW w:w="5529" w:type="dxa"/>
            <w:vMerge/>
          </w:tcPr>
          <w:p w:rsidR="00E424B1" w:rsidRPr="00300929" w:rsidRDefault="00E424B1" w:rsidP="00E424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424B1" w:rsidRPr="00300929" w:rsidRDefault="00E424B1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04.08.2020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  <w:lang w:eastAsia="en-US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1. Обзор новых рекомендуемых форм документов и методических рекомендаций, используемых заказчиками при подготовке к осуществлению закупок товаров, работ, услуг, утверждённых распоряжением Агентства государственных закупок Ульяновской области от 15.07.2020 № 30-р;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2. 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300929" w:rsidP="000015EC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0015EC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05.08.2020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Вебинар</w:t>
            </w:r>
            <w:proofErr w:type="spellEnd"/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направленный на обучение </w:t>
            </w:r>
            <w:r w:rsidRPr="00300929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государственных</w:t>
            </w: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 xml:space="preserve">муниципальных 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>заказчиков работе с новыми формами документов</w:t>
            </w:r>
          </w:p>
          <w:p w:rsidR="00EC1285" w:rsidRPr="00300929" w:rsidRDefault="00EC1285" w:rsidP="00EC1285">
            <w:pPr>
              <w:pStyle w:val="af"/>
              <w:spacing w:before="0" w:beforeAutospacing="0" w:after="0" w:afterAutospacing="0"/>
              <w:jc w:val="both"/>
              <w:rPr>
                <w:rFonts w:ascii="PT Astra Serif" w:eastAsia="Batang" w:hAnsi="PT Astra Serif"/>
              </w:rPr>
            </w:pPr>
            <w:r w:rsidRPr="00300929">
              <w:rPr>
                <w:rFonts w:ascii="PT Astra Serif" w:eastAsia="Batang" w:hAnsi="PT Astra Serif"/>
                <w:lang w:eastAsia="en-US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19.08.2020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государственных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заполнению отчётных форм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C1285" w:rsidRPr="00300929" w:rsidTr="00EC1285">
        <w:trPr>
          <w:trHeight w:val="126"/>
        </w:trPr>
        <w:tc>
          <w:tcPr>
            <w:tcW w:w="709" w:type="dxa"/>
          </w:tcPr>
          <w:p w:rsidR="00EC1285" w:rsidRPr="00300929" w:rsidRDefault="00300929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30092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5529" w:type="dxa"/>
            <w:vAlign w:val="center"/>
          </w:tcPr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proofErr w:type="spellStart"/>
            <w:r w:rsidRPr="00300929">
              <w:rPr>
                <w:rFonts w:ascii="PT Astra Serif" w:eastAsia="Batang" w:hAnsi="PT Astra Serif"/>
                <w:sz w:val="24"/>
                <w:szCs w:val="24"/>
              </w:rPr>
              <w:t>Вебинар</w:t>
            </w:r>
            <w:proofErr w:type="spellEnd"/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, направленный на обучение </w:t>
            </w:r>
            <w:r w:rsidRPr="00300929">
              <w:rPr>
                <w:rFonts w:ascii="PT Astra Serif" w:eastAsia="Batang" w:hAnsi="PT Astra Serif"/>
                <w:b/>
                <w:sz w:val="24"/>
                <w:szCs w:val="24"/>
              </w:rPr>
              <w:t>муниципальных</w:t>
            </w:r>
            <w:r w:rsidRPr="00300929">
              <w:rPr>
                <w:rFonts w:ascii="PT Astra Serif" w:eastAsia="Batang" w:hAnsi="PT Astra Serif"/>
                <w:sz w:val="24"/>
                <w:szCs w:val="24"/>
              </w:rPr>
              <w:t xml:space="preserve"> заказчиков работе с новыми формами документов</w:t>
            </w:r>
          </w:p>
          <w:p w:rsidR="00EC1285" w:rsidRPr="00300929" w:rsidRDefault="00EC1285" w:rsidP="00EC1285">
            <w:pPr>
              <w:spacing w:after="0" w:line="240" w:lineRule="auto"/>
              <w:jc w:val="both"/>
              <w:rPr>
                <w:rFonts w:ascii="PT Astra Serif" w:eastAsia="Batang" w:hAnsi="PT Astra Serif"/>
                <w:sz w:val="24"/>
                <w:szCs w:val="24"/>
              </w:rPr>
            </w:pPr>
            <w:r w:rsidRPr="00300929">
              <w:rPr>
                <w:rFonts w:ascii="PT Astra Serif" w:eastAsia="Batang" w:hAnsi="PT Astra Serif"/>
                <w:sz w:val="24"/>
                <w:szCs w:val="24"/>
              </w:rPr>
              <w:t>Новый порядок заполнения форм отчётности в соответствии с распоряжением Агентства государственных закупок Ульяновской области от 15.07.2020 № 29-р.</w:t>
            </w:r>
          </w:p>
        </w:tc>
        <w:tc>
          <w:tcPr>
            <w:tcW w:w="1701" w:type="dxa"/>
          </w:tcPr>
          <w:p w:rsidR="00EC1285" w:rsidRPr="00300929" w:rsidRDefault="000015EC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09.09.2020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16.09.2020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C67DA6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27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23.09.2020</w:t>
            </w: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Разъяснение заказчикам использования «национального режима» в закупках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28</w:t>
            </w:r>
          </w:p>
        </w:tc>
      </w:tr>
      <w:tr w:rsidR="00C67DA6" w:rsidRPr="00300929" w:rsidTr="00F67B64">
        <w:trPr>
          <w:trHeight w:val="126"/>
        </w:trPr>
        <w:tc>
          <w:tcPr>
            <w:tcW w:w="709" w:type="dxa"/>
          </w:tcPr>
          <w:p w:rsidR="00C67DA6" w:rsidRPr="00300929" w:rsidRDefault="00C67DA6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01" w:type="dxa"/>
          </w:tcPr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30.09.2020</w:t>
            </w:r>
          </w:p>
          <w:p w:rsidR="00C67DA6" w:rsidRPr="008C4042" w:rsidRDefault="00C67DA6" w:rsidP="00F67B64">
            <w:pPr>
              <w:pStyle w:val="af"/>
              <w:jc w:val="center"/>
              <w:rPr>
                <w:rFonts w:ascii="PT Astra Serif" w:eastAsia="Batang" w:hAnsi="PT Astra Serif"/>
                <w:lang w:eastAsia="en-US"/>
              </w:rPr>
            </w:pPr>
          </w:p>
        </w:tc>
        <w:tc>
          <w:tcPr>
            <w:tcW w:w="5529" w:type="dxa"/>
          </w:tcPr>
          <w:p w:rsidR="00C67DA6" w:rsidRPr="008C4042" w:rsidRDefault="00C67DA6" w:rsidP="00F67B64">
            <w:pPr>
              <w:pStyle w:val="af"/>
              <w:jc w:val="both"/>
              <w:rPr>
                <w:rFonts w:ascii="PT Astra Serif" w:eastAsia="Batang" w:hAnsi="PT Astra Serif"/>
                <w:lang w:eastAsia="en-US"/>
              </w:rPr>
            </w:pPr>
            <w:r w:rsidRPr="008C4042">
              <w:rPr>
                <w:rFonts w:ascii="PT Astra Serif" w:eastAsia="Batang" w:hAnsi="PT Astra Serif"/>
                <w:lang w:eastAsia="en-US"/>
              </w:rPr>
              <w:t>Регламент работы портала. Использование функционала портала технической поддержки. Регистрация, авторизация. Создание, отслеживание, закрытие, повторное открытие заявок. Работа с базой знаний.</w:t>
            </w:r>
          </w:p>
        </w:tc>
        <w:tc>
          <w:tcPr>
            <w:tcW w:w="1701" w:type="dxa"/>
          </w:tcPr>
          <w:p w:rsidR="00C67DA6" w:rsidRDefault="00D30D5E" w:rsidP="00E424B1">
            <w:pPr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300929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300929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300929" w:rsidRDefault="000015EC" w:rsidP="00D30D5E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</w:t>
            </w:r>
            <w:r w:rsidR="00D30D5E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97</w:t>
            </w:r>
          </w:p>
        </w:tc>
      </w:tr>
    </w:tbl>
    <w:p w:rsidR="00300929" w:rsidRDefault="00300929" w:rsidP="00E84DFA">
      <w:pPr>
        <w:pStyle w:val="af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в РИС «АЦК-Госзаказ» в соответствии с Р</w:t>
      </w:r>
      <w:r w:rsidRPr="00DD3497">
        <w:rPr>
          <w:rFonts w:ascii="PT Astra Serif" w:hAnsi="PT Astra Serif"/>
          <w:sz w:val="28"/>
          <w:szCs w:val="28"/>
        </w:rPr>
        <w:t>егламент</w:t>
      </w:r>
      <w:r>
        <w:rPr>
          <w:rFonts w:ascii="PT Astra Serif" w:hAnsi="PT Astra Serif"/>
          <w:sz w:val="28"/>
          <w:szCs w:val="28"/>
        </w:rPr>
        <w:t>омо</w:t>
      </w:r>
      <w:r w:rsidRPr="00DD3497">
        <w:rPr>
          <w:rFonts w:ascii="PT Astra Serif" w:hAnsi="PT Astra Serif"/>
          <w:sz w:val="28"/>
          <w:szCs w:val="28"/>
        </w:rPr>
        <w:t>бработки обращений пользователей</w:t>
      </w:r>
      <w:r>
        <w:rPr>
          <w:rFonts w:ascii="PT Astra Serif" w:hAnsi="PT Astra Serif"/>
          <w:sz w:val="28"/>
          <w:szCs w:val="28"/>
        </w:rPr>
        <w:t xml:space="preserve"> от 28.02.2019</w:t>
      </w:r>
      <w:r w:rsidR="00F958E9">
        <w:rPr>
          <w:rFonts w:ascii="PT Astra Serif" w:hAnsi="PT Astra Serif"/>
          <w:sz w:val="28"/>
          <w:szCs w:val="28"/>
        </w:rPr>
        <w:t xml:space="preserve">,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63105D" w:rsidRDefault="00E20D92" w:rsidP="00CA54E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специалистами службы поддержки осуществляется личный прием заказчиков для консультаций и решения вопросов технического характера.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126"/>
        <w:gridCol w:w="1843"/>
        <w:gridCol w:w="1701"/>
        <w:gridCol w:w="1843"/>
      </w:tblGrid>
      <w:tr w:rsidR="00BD7F5C" w:rsidRPr="008516EF" w:rsidTr="00E7346B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личных приёмов </w:t>
            </w:r>
            <w:r w:rsidRPr="008516EF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BD7F5C" w:rsidRPr="008516EF" w:rsidTr="00E7346B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BD7F5C" w:rsidRPr="008516EF" w:rsidRDefault="00BD7F5C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F5C" w:rsidRPr="008516EF" w:rsidRDefault="00BD7F5C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EFF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EFF" w:rsidRPr="008516EF" w:rsidRDefault="005D5EFF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262501" w:rsidRPr="008516E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C5E79" w:rsidRPr="008516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1787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1373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EFF" w:rsidRPr="008516EF" w:rsidRDefault="001C5E7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26EF3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EF3" w:rsidRPr="008516EF" w:rsidRDefault="00326EF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3F30CD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6C6E" w:rsidRPr="008516EF" w:rsidTr="006D71B5">
        <w:trPr>
          <w:trHeight w:val="6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6E" w:rsidRPr="008516EF" w:rsidRDefault="00F46C6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94A6D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4A6D" w:rsidRPr="008516EF" w:rsidRDefault="00594A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55B9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B93" w:rsidRPr="008516EF" w:rsidRDefault="00C55B9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B2713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DB27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713" w:rsidRPr="008516EF" w:rsidRDefault="00032D8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0929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929" w:rsidRDefault="000015E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29" w:rsidRDefault="00300929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7DA6" w:rsidRPr="008516EF" w:rsidTr="006D71B5">
        <w:trPr>
          <w:trHeight w:val="6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Default="00C67DA6" w:rsidP="006D71B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DA6" w:rsidRDefault="00D30D5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DA6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30CD" w:rsidRPr="008516EF" w:rsidTr="006D71B5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D30D5E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D30D5E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CD" w:rsidRPr="008516EF" w:rsidRDefault="003F30C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lastRenderedPageBreak/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CB313B" w:rsidRPr="00CB313B">
        <w:rPr>
          <w:rFonts w:ascii="PT Astra Serif" w:hAnsi="PT Astra Serif"/>
          <w:color w:val="000000"/>
          <w:sz w:val="28"/>
          <w:szCs w:val="28"/>
        </w:rPr>
        <w:t>4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CB313B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Таблица 4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659"/>
        <w:gridCol w:w="1743"/>
        <w:gridCol w:w="1286"/>
        <w:gridCol w:w="1451"/>
        <w:gridCol w:w="1843"/>
      </w:tblGrid>
      <w:tr w:rsidR="007909B1" w:rsidRPr="008516EF" w:rsidTr="00C67DA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450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240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738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Февраль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198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96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371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Март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1138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518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421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1836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Апрель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10</w:t>
            </w:r>
            <w:r w:rsidR="002A5A84" w:rsidRPr="006D71B5">
              <w:rPr>
                <w:rFonts w:ascii="PT Astra Serif" w:hAnsi="PT Astra Serif" w:cs="Arial"/>
                <w:sz w:val="24"/>
                <w:szCs w:val="24"/>
              </w:rPr>
              <w:t>38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468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381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6D71B5">
              <w:rPr>
                <w:rFonts w:ascii="PT Astra Serif" w:eastAsia="Times New Roman" w:hAnsi="PT Astra Serif"/>
                <w:sz w:val="24"/>
                <w:szCs w:val="24"/>
              </w:rPr>
              <w:t>1814</w:t>
            </w:r>
          </w:p>
        </w:tc>
      </w:tr>
      <w:tr w:rsidR="007909B1" w:rsidRPr="008516EF" w:rsidTr="00C67DA6">
        <w:trPr>
          <w:trHeight w:val="2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Default="007909B1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Май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</w:t>
            </w:r>
            <w:r w:rsidR="00132FFB"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</w:t>
            </w:r>
            <w:r w:rsidR="002A5A84"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7909B1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949</w:t>
            </w:r>
          </w:p>
        </w:tc>
      </w:tr>
      <w:tr w:rsidR="00132FFB" w:rsidRPr="008516EF" w:rsidTr="00C67DA6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Default="00132FFB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Июнь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2FFB" w:rsidRPr="006D71B5" w:rsidRDefault="00132FFB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1036</w:t>
            </w:r>
          </w:p>
        </w:tc>
      </w:tr>
      <w:tr w:rsidR="00AE161D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Default="00AE161D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Июль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61D" w:rsidRPr="006D71B5" w:rsidRDefault="00AE161D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1008</w:t>
            </w:r>
          </w:p>
        </w:tc>
      </w:tr>
      <w:tr w:rsidR="000015EC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Default="000015EC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Cs/>
                <w:sz w:val="24"/>
                <w:szCs w:val="24"/>
              </w:rPr>
              <w:t>Август</w:t>
            </w:r>
            <w:r w:rsidR="006D71B5">
              <w:rPr>
                <w:rFonts w:ascii="PT Astra Serif" w:hAnsi="PT Astra Serif" w:cs="Arial"/>
                <w:bCs/>
                <w:sz w:val="24"/>
                <w:szCs w:val="24"/>
              </w:rPr>
              <w:t xml:space="preserve"> 2020</w:t>
            </w:r>
          </w:p>
          <w:p w:rsidR="006D71B5" w:rsidRPr="006D71B5" w:rsidRDefault="006D71B5" w:rsidP="006D71B5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5EC" w:rsidRPr="006D71B5" w:rsidRDefault="000015EC" w:rsidP="006D71B5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6D71B5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612</w:t>
            </w:r>
          </w:p>
        </w:tc>
      </w:tr>
      <w:tr w:rsidR="00C67DA6" w:rsidRPr="008516EF" w:rsidTr="00C67DA6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A6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  <w:r>
              <w:rPr>
                <w:rFonts w:ascii="PT Astra Serif" w:hAnsi="PT Astra Serif" w:cs="Arial"/>
                <w:bCs/>
                <w:sz w:val="24"/>
                <w:szCs w:val="24"/>
              </w:rPr>
              <w:t>Сентябрь 2020</w:t>
            </w:r>
          </w:p>
          <w:p w:rsidR="00C67DA6" w:rsidRPr="006D71B5" w:rsidRDefault="00C67DA6" w:rsidP="00C67DA6">
            <w:pPr>
              <w:spacing w:after="0" w:line="240" w:lineRule="auto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DA6" w:rsidRPr="00C67DA6" w:rsidRDefault="00C67DA6" w:rsidP="00C67DA6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C67DA6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385</w:t>
            </w:r>
          </w:p>
        </w:tc>
      </w:tr>
      <w:tr w:rsidR="007909B1" w:rsidRPr="008516EF" w:rsidTr="00C67DA6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1B5" w:rsidRPr="006D71B5" w:rsidRDefault="007909B1" w:rsidP="006D71B5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5269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2675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1928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C67DA6" w:rsidP="006D71B5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8749</w:t>
            </w:r>
          </w:p>
        </w:tc>
      </w:tr>
    </w:tbl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D30D5E" w:rsidRDefault="00D30D5E" w:rsidP="00D30D5E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lastRenderedPageBreak/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были проведены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523AA5" w:rsidP="003331B3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C18E2"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 w:rsidRPr="004C18E2"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 w:rsidRPr="004C18E2">
        <w:rPr>
          <w:rFonts w:ascii="PT Astra Serif" w:hAnsi="PT Astra Serif"/>
          <w:b/>
          <w:sz w:val="28"/>
          <w:szCs w:val="28"/>
        </w:rPr>
        <w:t xml:space="preserve"> в сфере закупок.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Внедрение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осуществлен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целях обучения государственных заказчиков самостоятельному осуществлению закупок с НМЦК до 50 тыс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яч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рублей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(с 01.07.2020 года – до 300 тысяч рублей)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работе в системе АЦК</w:t>
      </w:r>
      <w:r w:rsidR="009D2A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Госзаказ посредством электронного документооборота проведены: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выездные обучающие семинары для отраслей образования и здравоохранения, а также подведомственной сети Министерства семейной, демографической политики и социального благополучия Ульяновской области;</w:t>
      </w:r>
    </w:p>
    <w:p w:rsidR="00350184" w:rsidRPr="004C18E2" w:rsidRDefault="0035018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C18E2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обучающие занятия в рамках работы проекта «Школа заказчика».</w:t>
      </w:r>
    </w:p>
    <w:p w:rsidR="00B43A2E" w:rsidRPr="004C18E2" w:rsidRDefault="007617AD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b/>
          <w:color w:val="000000"/>
          <w:sz w:val="28"/>
          <w:szCs w:val="28"/>
        </w:rPr>
        <w:t xml:space="preserve">1.2. </w:t>
      </w:r>
      <w:r w:rsidR="00B43A2E" w:rsidRPr="004C18E2">
        <w:rPr>
          <w:rFonts w:ascii="PT Astra Serif" w:hAnsi="PT Astra Serif"/>
          <w:b/>
          <w:color w:val="000000"/>
          <w:sz w:val="28"/>
          <w:szCs w:val="28"/>
        </w:rPr>
        <w:t xml:space="preserve">Интеграция РИС </w:t>
      </w:r>
      <w:r w:rsidR="00B43A2E" w:rsidRPr="004C18E2">
        <w:rPr>
          <w:rFonts w:ascii="PT Astra Serif" w:hAnsi="PT Astra Serif"/>
          <w:b/>
          <w:sz w:val="28"/>
          <w:szCs w:val="28"/>
        </w:rPr>
        <w:t>АЦК-Госзаказ и единой медицинской информационной системы Ульяновской области</w:t>
      </w:r>
      <w:r w:rsidR="00B43A2E" w:rsidRPr="004C18E2">
        <w:rPr>
          <w:rFonts w:ascii="PT Astra Serif" w:hAnsi="PT Astra Serif"/>
          <w:sz w:val="28"/>
          <w:szCs w:val="28"/>
        </w:rPr>
        <w:t xml:space="preserve"> (далее – МИС)</w:t>
      </w:r>
    </w:p>
    <w:p w:rsidR="00B43A2E" w:rsidRPr="004C18E2" w:rsidRDefault="00B43A2E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C18E2">
        <w:rPr>
          <w:rFonts w:ascii="PT Astra Serif" w:hAnsi="PT Astra Serif"/>
          <w:sz w:val="28"/>
          <w:szCs w:val="28"/>
        </w:rPr>
        <w:t>В целях комплексной информатизации процесса закупок для бесперебойного обеспечения медицинских учреждений региона лекарственными препаратами и медицинскими изделиями осуществляется работа по интеграции РИС АЦК-Госзаказ с МИС, обеспечивающей возможность контроля, мониторинга текущих операций и их статусов, а также прозрачность и управляемость закупочных процессов.</w:t>
      </w:r>
    </w:p>
    <w:p w:rsidR="00A57121" w:rsidRPr="00A57121" w:rsidRDefault="00A57121" w:rsidP="003501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highlight w:val="yellow"/>
          <w:shd w:val="clear" w:color="auto" w:fill="FFFFFF"/>
        </w:rPr>
      </w:pPr>
    </w:p>
    <w:p w:rsidR="00350184" w:rsidRDefault="00A57121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="00AF3B54" w:rsidRPr="004C18E2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Осуществление постоянного взаимодействия с федеральным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орган</w:t>
      </w:r>
      <w:r w:rsidR="0035018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ами</w:t>
      </w:r>
      <w:r w:rsidR="00350184" w:rsidRPr="00D16F8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закупок</w:t>
      </w:r>
    </w:p>
    <w:p w:rsidR="00AF3B5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AF3B54" w:rsidRPr="00350184">
        <w:rPr>
          <w:rFonts w:ascii="PT Astra Serif" w:eastAsia="Times New Roman" w:hAnsi="PT Astra Serif"/>
          <w:sz w:val="28"/>
          <w:szCs w:val="28"/>
          <w:lang w:eastAsia="ru-RU"/>
        </w:rPr>
        <w:t>.1. Взаимодействие</w:t>
      </w:r>
      <w:r w:rsidR="00AF3B54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>- в целях формирования</w:t>
      </w:r>
      <w:r>
        <w:rPr>
          <w:rFonts w:ascii="PT Astra Serif" w:hAnsi="PT Astra Serif"/>
          <w:sz w:val="28"/>
          <w:szCs w:val="28"/>
        </w:rPr>
        <w:t xml:space="preserve"> предложений по нормативному регулированию закупок малого объема направлена заполненная анкета по осуществлению закупок малого объема от Ульяновской области (письмо от 23.01.2020 </w:t>
      </w:r>
      <w:r>
        <w:rPr>
          <w:rFonts w:ascii="PT Astra Serif" w:hAnsi="PT Astra Serif"/>
          <w:sz w:val="28"/>
          <w:szCs w:val="28"/>
        </w:rPr>
        <w:br/>
        <w:t>№ 73-ИОГВ-03-05/20 исх.)</w:t>
      </w:r>
      <w:r w:rsidR="00031E14">
        <w:rPr>
          <w:rFonts w:ascii="PT Astra Serif" w:hAnsi="PT Astra Serif"/>
          <w:sz w:val="28"/>
          <w:szCs w:val="28"/>
        </w:rPr>
        <w:t>;</w:t>
      </w:r>
    </w:p>
    <w:p w:rsidR="00350184" w:rsidRPr="00350184" w:rsidRDefault="00350184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lastRenderedPageBreak/>
        <w:t xml:space="preserve">-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31.01.2020 принято участие (в дистанционной форме) в видеоконференции по обсуждению нормативного регу</w:t>
      </w:r>
      <w:r w:rsidR="00031E1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лирования закупок малого объема;</w:t>
      </w:r>
    </w:p>
    <w:p w:rsidR="00350184" w:rsidRDefault="00031E14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- 26.02.2020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 в видеоконференции по обсуждению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механизма расчета началь</w:t>
      </w:r>
      <w:r w:rsid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ных максимальных цен контрактов;</w:t>
      </w:r>
    </w:p>
    <w:p w:rsidR="003331B3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- 03.03.2020 направлены д</w:t>
      </w:r>
      <w:r w:rsidRPr="0051192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анные по Ульяновской области для расчета Рейтинга эффективности и прозрачности закупочных систем регионов РФ за 2019 финансовый год</w:t>
      </w:r>
      <w:r w:rsidR="002F3A58">
        <w:rPr>
          <w:rFonts w:ascii="PT Astra Serif" w:hAnsi="PT Astra Serif"/>
          <w:sz w:val="28"/>
          <w:szCs w:val="28"/>
        </w:rPr>
        <w:t>(письмо от 03.03.2020 № 73-ИОГВ-03-05/150 исх.)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511920" w:rsidRDefault="00511920" w:rsidP="00350184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- 19.03.2020 направлены</w:t>
      </w:r>
      <w:r w:rsidR="00E3063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Анкеты от Ульяновской области по вопросу механизма расчета начальных (максимальных) цен контракта</w:t>
      </w:r>
      <w:r w:rsidR="002F3A58">
        <w:rPr>
          <w:rFonts w:ascii="PT Astra Serif" w:hAnsi="PT Astra Serif"/>
          <w:sz w:val="28"/>
          <w:szCs w:val="28"/>
        </w:rPr>
        <w:t>(письмо от 19.03.2020 № 73-ИОГВ-03-05/262 исх.)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BE4A0A" w:rsidRDefault="00BE4A0A" w:rsidP="00BE4A0A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- 28.04.2020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видеоконференции по обсуждению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свода предложений </w:t>
      </w:r>
      <w:r w:rsidRPr="00BE4A0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совершенствованию законодательства и подзаконных нормативных прав</w:t>
      </w:r>
      <w:r w:rsidR="000A769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овых актов в части расчета НМЦК;</w:t>
      </w:r>
    </w:p>
    <w:p w:rsidR="000A7693" w:rsidRPr="008B046F" w:rsidRDefault="000A7693" w:rsidP="000A7693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15.05.2020 направлена Анкета от Ульяновской области по вопросу </w:t>
      </w:r>
      <w:r w:rsidRPr="008B046F">
        <w:rPr>
          <w:rFonts w:ascii="PT Astra Serif" w:hAnsi="PT Astra Serif"/>
          <w:sz w:val="28"/>
          <w:szCs w:val="28"/>
        </w:rPr>
        <w:t xml:space="preserve">совершенствования законодательства и нормативных правовых актов в части определения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начальных (максимальных) цен контракта (от 15.05.2020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№73-ИОГВ-21/10 исх.);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- 19.05.2020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Заседании Экспертного совета регионов по развитию контрактной системы по вопросам 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 контрактов, а также предложений регионов по совершенствованию законодательства и подзаконных нормативных правовых актов в части расчёта НМЦК;</w:t>
      </w:r>
    </w:p>
    <w:p w:rsidR="000A7693" w:rsidRPr="008B046F" w:rsidRDefault="000A7693" w:rsidP="000A7693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6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.2020 года принято участие </w:t>
      </w:r>
      <w:r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(в дистанционной форме)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Заседании Экспертного совета регионов по развитию контрактной системы по 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удальнейшего 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обсуждения механизма расчёта начальных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максимальных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Pr="008B04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контрактов.</w:t>
      </w:r>
    </w:p>
    <w:p w:rsidR="006134AA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.07.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2020 года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церемони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подведения итогов Рейтинга эффективности и прозрачности закупочных систем регионов РФ за 2019 год (далее – Рейтинг).</w:t>
      </w:r>
    </w:p>
    <w:p w:rsidR="006134AA" w:rsidRPr="0065323C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Ульяновская область стала лидером Рейтинга по показателю «Оценка организационной структуры закупок региона», а также достигла высших и высоких результатов по показателям «Оценка информационной инфраструктуры закупок региона», «Нормативная база региона», «Оценка осуществления закупочных процедур», «Исполнение требований законодательства о закупках», «Исполнение контрактов», «Снятие административных барьеров и обеспечение доступности информации о региональной системе государственных закупок».</w:t>
      </w:r>
    </w:p>
    <w:p w:rsidR="006134AA" w:rsidRPr="0065323C" w:rsidRDefault="006134AA" w:rsidP="006134AA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5323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Муниципальные образования Ульяновской области в Рейтинге муниципальных закупок также достигли высших и высоких результатов по показателям.</w:t>
      </w:r>
    </w:p>
    <w:p w:rsidR="00BE4A0A" w:rsidRDefault="00BE4A0A" w:rsidP="00BE4A0A">
      <w:pPr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3331B3" w:rsidRDefault="00031E14" w:rsidP="003331B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Участие </w:t>
      </w:r>
      <w:r w:rsidR="003331B3">
        <w:rPr>
          <w:rFonts w:ascii="PT Astra Serif" w:hAnsi="PT Astra Serif"/>
          <w:b/>
          <w:sz w:val="28"/>
          <w:szCs w:val="28"/>
          <w:shd w:val="clear" w:color="auto" w:fill="FFFFFF"/>
        </w:rPr>
        <w:t>в региональных мероприятиях по вопросам осуществления закупок</w:t>
      </w:r>
    </w:p>
    <w:p w:rsidR="00031E14" w:rsidRPr="00031E14" w:rsidRDefault="003331B3" w:rsidP="00993AF5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lastRenderedPageBreak/>
        <w:t xml:space="preserve">Участие </w:t>
      </w:r>
      <w:r w:rsidR="00031E14" w:rsidRPr="00031E14">
        <w:rPr>
          <w:rFonts w:ascii="PT Astra Serif" w:hAnsi="PT Astra Serif"/>
          <w:b/>
          <w:sz w:val="28"/>
          <w:szCs w:val="28"/>
          <w:shd w:val="clear" w:color="auto" w:fill="FFFFFF"/>
        </w:rPr>
        <w:t>в Неделях контрактных отношени</w:t>
      </w:r>
      <w:r w:rsidR="00694C5C">
        <w:rPr>
          <w:rFonts w:ascii="PT Astra Serif" w:hAnsi="PT Astra Serif"/>
          <w:b/>
          <w:sz w:val="28"/>
          <w:szCs w:val="28"/>
          <w:shd w:val="clear" w:color="auto" w:fill="FFFFFF"/>
        </w:rPr>
        <w:t>й и закупок Ульяновской области</w:t>
      </w:r>
    </w:p>
    <w:p w:rsidR="003331B3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18-21.02.2020 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принято участие в организации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ии I Недели 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контрактных отношений и закупок Ульяновской области «Закупки в регионе: результаты, достижения, перспективные направления», в рамках которой про</w:t>
      </w:r>
      <w:r w:rsidR="003331B3"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шло</w:t>
      </w:r>
      <w:r w:rsidRPr="00E7346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6 разноплановых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мероприятий. </w:t>
      </w:r>
    </w:p>
    <w:p w:rsidR="00031E14" w:rsidRPr="00154DD6" w:rsidRDefault="00031E14" w:rsidP="00E7346B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Законодательного собрания Ульяновской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контрольн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о-надзорных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органов, Ульяновской ТПП,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исполнительны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х органов государственной власти и органов местного самоуправления </w:t>
      </w:r>
      <w:r w:rsid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Ульяновской</w:t>
      </w:r>
      <w:r w:rsidR="003331B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области</w:t>
      </w:r>
      <w:r w:rsidRPr="00154DD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бизнес-сообщества, эксперты и общественные организации, а также Председатель правления Общероссийской общественной организации «Гильдия отечественных закупщиков и специалистов по закупкам и продажам», Лидия Никифорова (всего порядка 500 человек). По итогам проведенных мероприятий были намечены ключевые направления для развития системы закупок в регионе.</w:t>
      </w:r>
    </w:p>
    <w:p w:rsidR="000842DB" w:rsidRDefault="00993AF5" w:rsidP="00E7346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 по р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езультат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функционирования системы закупок Ульяновской области за 2019 год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результата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внедрения юридически значимого электронного документооборота </w:t>
      </w:r>
      <w:r w:rsidR="00CE7F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3331B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РИС «АЦК-Госзаказ</w:t>
      </w: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- 25-28.08.2020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организ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ации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проведен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ии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I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I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контрактных отношений и закупок Ульяновской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области «Трансформация контрактной системы. Куда движемся», в рамках которой было проведено 4 разноплановых мероприяти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2E44B0" w:rsidRPr="002E44B0" w:rsidRDefault="002E44B0" w:rsidP="002E44B0">
      <w:pPr>
        <w:spacing w:after="0" w:line="240" w:lineRule="auto"/>
        <w:ind w:firstLine="709"/>
        <w:jc w:val="both"/>
        <w:textAlignment w:val="baseline"/>
        <w:outlineLvl w:val="0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работе Недели приняли участие представители Правительства Ульяновской области, контрольных, правоохранительных, налоговых органов, Ульяновской ТПП, ИОГВ, бизнес-сообщества,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также </w:t>
      </w:r>
      <w:r w:rsidRPr="002E44B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эксперты и общественные организации </w:t>
      </w:r>
      <w:r w:rsidRPr="006B66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(всего порядка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100 человек).</w:t>
      </w:r>
    </w:p>
    <w:p w:rsidR="00993AF5" w:rsidRDefault="00993AF5" w:rsidP="00E7346B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993AF5" w:rsidRPr="00993AF5" w:rsidRDefault="00993AF5" w:rsidP="00993AF5">
      <w:pPr>
        <w:numPr>
          <w:ilvl w:val="1"/>
          <w:numId w:val="24"/>
        </w:numPr>
        <w:spacing w:after="0" w:line="240" w:lineRule="auto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Участие в прочих мероприятиях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по вопросам законодательства о контрактной системе</w:t>
      </w:r>
    </w:p>
    <w:p w:rsidR="00E7346B" w:rsidRDefault="00993AF5" w:rsidP="00993AF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- подготовлен</w:t>
      </w:r>
      <w:r w:rsidR="00E7346B" w:rsidRPr="00E7346B">
        <w:rPr>
          <w:rFonts w:ascii="PT Astra Serif" w:eastAsia="Times New Roman" w:hAnsi="PT Astra Serif"/>
          <w:sz w:val="28"/>
          <w:szCs w:val="28"/>
          <w:lang w:eastAsia="ru-RU"/>
        </w:rPr>
        <w:t>ы аналитические и презентационные материалы</w:t>
      </w:r>
      <w:r>
        <w:rPr>
          <w:rFonts w:ascii="PT Astra Serif" w:hAnsi="PT Astra Serif"/>
          <w:sz w:val="28"/>
          <w:szCs w:val="28"/>
        </w:rPr>
        <w:t>по итогам рейтингав сфере закупок муниципальных образований Ульяновской области за 2019 год</w:t>
      </w:r>
      <w:r w:rsidR="00E7346B">
        <w:rPr>
          <w:rFonts w:ascii="PT Astra Serif" w:hAnsi="PT Astra Serif"/>
          <w:sz w:val="28"/>
          <w:szCs w:val="28"/>
        </w:rPr>
        <w:t>, озвученного в рамкахсовещания на базе Ульяновской ТПП по теме: «Результаты I Недели контрактных отношений и закупок Ульяновской области. Задачи и перспектив</w:t>
      </w:r>
      <w:r w:rsidR="00F1231A">
        <w:rPr>
          <w:rFonts w:ascii="PT Astra Serif" w:hAnsi="PT Astra Serif"/>
          <w:sz w:val="28"/>
          <w:szCs w:val="28"/>
        </w:rPr>
        <w:t>ы»;</w:t>
      </w:r>
    </w:p>
    <w:p w:rsid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7346B">
        <w:rPr>
          <w:rFonts w:ascii="PT Astra Serif" w:eastAsia="Times New Roman" w:hAnsi="PT Astra Serif"/>
          <w:sz w:val="28"/>
          <w:szCs w:val="28"/>
          <w:lang w:eastAsia="ru-RU"/>
        </w:rPr>
        <w:t>подготовлены аналитические и презентационные материалы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по теме:«Закупки в условиях пандемии. Особенности. Проблемы и решения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» в рамках </w:t>
      </w:r>
      <w:r w:rsidRPr="00F1231A">
        <w:rPr>
          <w:rFonts w:ascii="PT Astra Serif" w:eastAsia="Times New Roman" w:hAnsi="PT Astra Serif"/>
          <w:sz w:val="28"/>
          <w:szCs w:val="28"/>
          <w:lang w:eastAsia="ru-RU"/>
        </w:rPr>
        <w:t>совещания по финансово-экономическим вопросам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(23.04.2020);</w:t>
      </w:r>
    </w:p>
    <w:p w:rsidR="00F1231A" w:rsidRPr="00F1231A" w:rsidRDefault="00F1231A" w:rsidP="00993AF5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- работниками ОГКУ «Центр по сопровождению закупок» пройдено обучение по программе дополнительного профессионального образования «Специалист в сфере закупок в условиях пандемии» (40 часов).</w:t>
      </w:r>
    </w:p>
    <w:p w:rsidR="000842DB" w:rsidRDefault="000842DB" w:rsidP="00802B91">
      <w:p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0842DB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D04553" w:rsidRDefault="00BE7C65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637.8pt;margin-top:-40.4pt;width:96.15pt;height:39.75pt;z-index:251658752;visibility:visible;mso-wrap-distance-top:3.6pt;mso-wrap-distance-bottom:3.6pt;mso-width-relative:margin;mso-height-relative:margin" filled="f" stroked="f">
            <v:textbox style="mso-next-textbox:#_x0000_s1080">
              <w:txbxContent>
                <w:p w:rsidR="00343BE2" w:rsidRDefault="00343BE2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>Приложение</w:t>
                  </w:r>
                </w:p>
                <w:p w:rsidR="00343BE2" w:rsidRPr="000842DB" w:rsidRDefault="00343BE2" w:rsidP="0086763C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и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аграмма1</w:t>
                  </w:r>
                </w:p>
              </w:txbxContent>
            </v:textbox>
          </v:shape>
        </w:pict>
      </w:r>
      <w:r w:rsidR="0012533F">
        <w:rPr>
          <w:noProof/>
          <w:lang w:eastAsia="ru-RU"/>
        </w:rPr>
        <w:drawing>
          <wp:inline distT="0" distB="0" distL="0" distR="0">
            <wp:extent cx="9544050" cy="57626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3BFD" w:rsidRDefault="003F3BFD" w:rsidP="00111E7E">
      <w:pPr>
        <w:rPr>
          <w:noProof/>
          <w:lang w:eastAsia="ru-RU"/>
        </w:rPr>
      </w:pPr>
    </w:p>
    <w:p w:rsidR="00D04553" w:rsidRDefault="00BE7C65" w:rsidP="00111E7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115" type="#_x0000_t202" style="position:absolute;margin-left:658.3pt;margin-top:-23.15pt;width:101pt;height:32.7pt;z-index:251666944" stroked="f">
            <v:textbox style="mso-next-textbox:#_x0000_s1115">
              <w:txbxContent>
                <w:p w:rsidR="00343BE2" w:rsidRPr="00937DDA" w:rsidRDefault="00343BE2" w:rsidP="0001273A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2</w:t>
                  </w:r>
                </w:p>
              </w:txbxContent>
            </v:textbox>
          </v:shape>
        </w:pict>
      </w:r>
      <w:r w:rsidR="0012533F">
        <w:rPr>
          <w:noProof/>
          <w:lang w:eastAsia="ru-RU"/>
        </w:rPr>
        <w:drawing>
          <wp:inline distT="0" distB="0" distL="0" distR="0">
            <wp:extent cx="9458325" cy="58102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ru-RU"/>
        </w:rPr>
        <w:pict>
          <v:rect id="_x0000_s1060" style="position:absolute;margin-left:7.35pt;margin-top:74.9pt;width:45.25pt;height:14.15pt;z-index:251650560;mso-position-horizontal-relative:text;mso-position-vertical-relative:text" stroked="f"/>
        </w:pict>
      </w:r>
    </w:p>
    <w:p w:rsidR="00111E7E" w:rsidRDefault="00BE7C65" w:rsidP="00FC2EE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s1074" type="#_x0000_t202" style="position:absolute;margin-left:646.3pt;margin-top:-35.15pt;width:101pt;height:32.7pt;z-index:251656704" stroked="f">
            <v:textbox style="mso-next-textbox:#_x0000_s1074">
              <w:txbxContent>
                <w:p w:rsidR="00343BE2" w:rsidRPr="00937DDA" w:rsidRDefault="00343BE2" w:rsidP="00C47B67">
                  <w:pPr>
                    <w:rPr>
                      <w:rFonts w:ascii="PT Astra Serif" w:hAnsi="PT Astra Serif"/>
                      <w:sz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</w:rPr>
                    <w:t>Ди</w:t>
                  </w:r>
                  <w:r>
                    <w:rPr>
                      <w:rFonts w:ascii="PT Astra Serif" w:hAnsi="PT Astra Serif"/>
                      <w:sz w:val="28"/>
                    </w:rPr>
                    <w:t>аграмма 3</w:t>
                  </w:r>
                </w:p>
              </w:txbxContent>
            </v:textbox>
          </v:shape>
        </w:pict>
      </w:r>
      <w:r w:rsidR="0012533F">
        <w:rPr>
          <w:noProof/>
          <w:lang w:eastAsia="ru-RU"/>
        </w:rPr>
        <w:drawing>
          <wp:inline distT="0" distB="0" distL="0" distR="0">
            <wp:extent cx="9191625" cy="58388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pict>
          <v:shape id="_x0000_s1090" type="#_x0000_t202" style="position:absolute;margin-left:-2.25pt;margin-top:475.6pt;width:756.85pt;height:39.75pt;z-index:251662848;mso-position-horizontal-relative:text;mso-position-vertical-relative:text" stroked="f">
            <v:textbox style="mso-next-textbox:#_x0000_s1090">
              <w:txbxContent>
                <w:p w:rsidR="00343BE2" w:rsidRPr="008B53EE" w:rsidRDefault="00343BE2" w:rsidP="00ED3AB7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  <w:r>
                    <w:rPr>
                      <w:rFonts w:ascii="PT Astra Serif" w:hAnsi="PT Astra Serif"/>
                    </w:rPr>
                    <w:t xml:space="preserve"> (как через уполномоченный орган, так и самостоятельно заказчиками)</w:t>
                  </w:r>
                </w:p>
              </w:txbxContent>
            </v:textbox>
          </v:shape>
        </w:pict>
      </w:r>
    </w:p>
    <w:p w:rsidR="008E1B30" w:rsidRDefault="008E1B30" w:rsidP="00FC2EE9">
      <w:pPr>
        <w:rPr>
          <w:noProof/>
          <w:lang w:eastAsia="ru-RU"/>
        </w:rPr>
      </w:pPr>
    </w:p>
    <w:p w:rsidR="008E1B30" w:rsidRDefault="00C31221" w:rsidP="00FC2EE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61170" cy="4891966"/>
            <wp:effectExtent l="0" t="0" r="0" b="0"/>
            <wp:docPr id="9" name="Рисунок 9" descr="Z:\ОТДЕЛ МОНИТОРИНГА И ОТЧЕТНОСТИ\!ОТЧЁТ 2020\Отчет ОГКУ\сентябрь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НИТОРИНГА И ОТЧЕТНОСТИ\!ОТЧЁТ 2020\Отчет ОГКУ\сентябрь\Снимок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489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C65">
        <w:rPr>
          <w:noProof/>
          <w:lang w:eastAsia="ru-RU"/>
        </w:rPr>
        <w:pict>
          <v:shape id="_x0000_s1066" type="#_x0000_t202" style="position:absolute;margin-left:640.8pt;margin-top:-35.9pt;width:91.25pt;height:27.75pt;z-index:251651584;mso-position-horizontal-relative:text;mso-position-vertical-relative:text" stroked="f">
            <v:textbox style="mso-next-textbox:#_x0000_s1066">
              <w:txbxContent>
                <w:p w:rsidR="00343BE2" w:rsidRPr="00937DDA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4</w:t>
                  </w:r>
                </w:p>
              </w:txbxContent>
            </v:textbox>
          </v:shape>
        </w:pict>
      </w:r>
    </w:p>
    <w:p w:rsidR="00767282" w:rsidRDefault="00767282" w:rsidP="00767282"/>
    <w:p w:rsidR="00767282" w:rsidRDefault="00BE7C65" w:rsidP="00FC2EE9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117" type="#_x0000_t202" style="position:absolute;margin-left:9.75pt;margin-top:34.9pt;width:756.85pt;height:39.75pt;z-index:251667968;mso-position-horizontal-relative:text;mso-position-vertical-relative:text" stroked="f">
            <v:textbox style="mso-next-textbox:#_x0000_s1117">
              <w:txbxContent>
                <w:p w:rsidR="00343BE2" w:rsidRPr="008B53EE" w:rsidRDefault="00343BE2" w:rsidP="00CB7043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 xml:space="preserve">* </w:t>
                  </w:r>
                  <w:r>
                    <w:rPr>
                      <w:rFonts w:ascii="PT Astra Serif" w:hAnsi="PT Astra Serif"/>
                    </w:rPr>
                    <w:t>закупки, проведенные как через уполномоченный орган, так и самостоятельно заказчиками</w:t>
                  </w:r>
                </w:p>
                <w:p w:rsidR="00343BE2" w:rsidRPr="008B53EE" w:rsidRDefault="00343BE2" w:rsidP="00823BF0">
                  <w:pPr>
                    <w:rPr>
                      <w:rFonts w:ascii="PT Astra Serif" w:hAnsi="PT Astra Serif"/>
                    </w:rPr>
                  </w:pPr>
                </w:p>
              </w:txbxContent>
            </v:textbox>
          </v:shape>
        </w:pict>
      </w:r>
    </w:p>
    <w:p w:rsidR="000C3C6A" w:rsidRPr="000C3C6A" w:rsidRDefault="00C31221" w:rsidP="000C3C6A">
      <w:pPr>
        <w:jc w:val="right"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5000" cy="61817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BE7C65">
        <w:rPr>
          <w:noProof/>
          <w:lang w:eastAsia="ru-RU"/>
        </w:rPr>
        <w:pict>
          <v:shape id="_x0000_s1113" type="#_x0000_t202" style="position:absolute;left:0;text-align:left;margin-left:652.8pt;margin-top:-23.9pt;width:91.25pt;height:27.75pt;z-index:251665920;mso-position-horizontal-relative:text;mso-position-vertical-relative:text" stroked="f">
            <v:textbox style="mso-next-textbox:#_x0000_s1113">
              <w:txbxContent>
                <w:p w:rsidR="00343BE2" w:rsidRPr="00937DDA" w:rsidRDefault="00343BE2" w:rsidP="000C3C6A">
                  <w:pPr>
                    <w:rPr>
                      <w:rFonts w:ascii="PT Astra Serif" w:hAnsi="PT Astra Serif"/>
                      <w:sz w:val="28"/>
                    </w:rPr>
                  </w:pPr>
                  <w:r w:rsidRPr="00493915">
                    <w:rPr>
                      <w:rFonts w:ascii="PT Astra Serif" w:hAnsi="PT Astra Serif"/>
                      <w:sz w:val="28"/>
                    </w:rPr>
                    <w:t xml:space="preserve">Диаграмма </w:t>
                  </w:r>
                  <w:r>
                    <w:rPr>
                      <w:rFonts w:ascii="PT Astra Serif" w:hAnsi="PT Astra Serif"/>
                      <w:sz w:val="28"/>
                    </w:rPr>
                    <w:t>5</w:t>
                  </w:r>
                </w:p>
              </w:txbxContent>
            </v:textbox>
          </v:shape>
        </w:pict>
      </w:r>
    </w:p>
    <w:p w:rsidR="00D04553" w:rsidRDefault="0012533F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86825" cy="6429375"/>
            <wp:effectExtent l="0" t="0" r="0" b="0"/>
            <wp:docPr id="14" name="Рисунок 14" descr="Z:\ОТДЕЛ МОНИТОРИНГА И ОТЧЕТНОСТИ\!ОТЧЁТ 2020\Отчет ОГКУ\сентябрь\прове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МОНИТОРИНГА И ОТЧЕТНОСТИ\!ОТЧЁТ 2020\Отчет ОГКУ\сентябрь\провещ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E7C65">
        <w:rPr>
          <w:noProof/>
          <w:lang w:eastAsia="ru-RU"/>
        </w:rPr>
        <w:pict>
          <v:shape id="_x0000_s1068" type="#_x0000_t202" style="position:absolute;margin-left:625.8pt;margin-top:-26.15pt;width:95.35pt;height:28.05pt;z-index:251653632;mso-position-horizontal-relative:text;mso-position-vertical-relative:text" stroked="f">
            <v:textbox style="mso-next-textbox:#_x0000_s1068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6</w:t>
                  </w:r>
                </w:p>
              </w:txbxContent>
            </v:textbox>
          </v:shape>
        </w:pict>
      </w:r>
    </w:p>
    <w:p w:rsidR="000802B3" w:rsidRDefault="00C31221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982075" cy="6448425"/>
            <wp:effectExtent l="0" t="0" r="0" b="0"/>
            <wp:docPr id="12" name="Рисунок 12" descr="Z:\ОТДЕЛ МОНИТОРИНГА И ОТЧЕТНОСТИ\!ОТЧЁТ 2020\Отчет ОГКУ\сентябрь\прир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МОНИТОРИНГА И ОТЧЕТНОСТИ\!ОТЧЁТ 2020\Отчет ОГКУ\сентябрь\природа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C65">
        <w:rPr>
          <w:noProof/>
          <w:lang w:eastAsia="ru-RU"/>
        </w:rPr>
        <w:pict>
          <v:shape id="_x0000_s1069" type="#_x0000_t202" style="position:absolute;margin-left:614.85pt;margin-top:-26pt;width:94.45pt;height:25.25pt;z-index:251654656;mso-position-horizontal-relative:text;mso-position-vertical-relative:text" stroked="f">
            <v:textbox style="mso-next-textbox:#_x0000_s1069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</w:t>
                  </w:r>
                  <w:r w:rsidRPr="001E1A38">
                    <w:rPr>
                      <w:rFonts w:ascii="PT Astra Serif" w:hAnsi="PT Astra Serif"/>
                      <w:sz w:val="28"/>
                    </w:rPr>
                    <w:t>гра</w:t>
                  </w:r>
                  <w:r>
                    <w:rPr>
                      <w:rFonts w:ascii="PT Astra Serif" w:hAnsi="PT Astra Serif"/>
                      <w:sz w:val="28"/>
                    </w:rPr>
                    <w:t>мма 7</w:t>
                  </w:r>
                </w:p>
              </w:txbxContent>
            </v:textbox>
          </v:shape>
        </w:pict>
      </w:r>
    </w:p>
    <w:p w:rsidR="00ED3AB7" w:rsidRDefault="00C31221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67775" cy="6467475"/>
            <wp:effectExtent l="0" t="0" r="0" b="0"/>
            <wp:docPr id="13" name="Рисунок 13" descr="Z:\ОТДЕЛ МОНИТОРИНГА И ОТЧЕТНОСТИ\!ОТЧЁТ 2020\Отчет ОГКУ\сентябрь\стр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МОНИТОРИНГА И ОТЧЕТНОСТИ\!ОТЧЁТ 2020\Отчет ОГКУ\сентябрь\стро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C65">
        <w:rPr>
          <w:noProof/>
          <w:lang w:eastAsia="ru-RU"/>
        </w:rPr>
        <w:pict>
          <v:shape id="_x0000_s1070" type="#_x0000_t202" style="position:absolute;margin-left:599.35pt;margin-top:-25.85pt;width:102.85pt;height:25.3pt;z-index:251655680;mso-position-horizontal-relative:text;mso-position-vertical-relative:text" stroked="f">
            <v:textbox style="mso-next-textbox:#_x0000_s1070">
              <w:txbxContent>
                <w:p w:rsidR="00343BE2" w:rsidRPr="009C1908" w:rsidRDefault="00343BE2">
                  <w:pPr>
                    <w:rPr>
                      <w:rFonts w:ascii="PT Astra Serif" w:hAnsi="PT Astra Serif"/>
                      <w:sz w:val="28"/>
                    </w:rPr>
                  </w:pPr>
                  <w:r>
                    <w:rPr>
                      <w:rFonts w:ascii="PT Astra Serif" w:hAnsi="PT Astra Serif"/>
                      <w:sz w:val="28"/>
                    </w:rPr>
                    <w:t>Диаграмма 8</w:t>
                  </w:r>
                </w:p>
              </w:txbxContent>
            </v:textbox>
          </v:shape>
        </w:pict>
      </w:r>
    </w:p>
    <w:p w:rsidR="00D63609" w:rsidRDefault="00C31221" w:rsidP="00DE43F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361170" cy="5493778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BE7C65" w:rsidRPr="00BE7C65">
        <w:rPr>
          <w:rFonts w:ascii="PT Astra Serif" w:hAnsi="PT Astra Serif"/>
          <w:noProof/>
          <w:lang w:eastAsia="ru-RU"/>
        </w:rPr>
        <w:pict>
          <v:shape id="Надпись 2" o:spid="_x0000_s1055" type="#_x0000_t202" style="position:absolute;margin-left:628.8pt;margin-top:-23.15pt;width:93.75pt;height:22.5pt;z-index:25164953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Надпись 2">
              <w:txbxContent>
                <w:p w:rsidR="00343BE2" w:rsidRPr="000842DB" w:rsidRDefault="00343BE2" w:rsidP="00433442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иаграмма9</w:t>
                  </w:r>
                </w:p>
              </w:txbxContent>
            </v:textbox>
          </v:shape>
        </w:pict>
      </w:r>
      <w:r w:rsidR="00BE7C65" w:rsidRPr="00BE7C65">
        <w:rPr>
          <w:rFonts w:ascii="PT Astra Serif" w:hAnsi="PT Astra Serif"/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87" type="#_x0000_t122" style="position:absolute;margin-left:661.05pt;margin-top:105.85pt;width:19.6pt;height:13.5pt;z-index:251661824;mso-position-horizontal-relative:text;mso-position-vertical-relative:text" stroked="f"/>
        </w:pict>
      </w:r>
    </w:p>
    <w:p w:rsidR="00727248" w:rsidRDefault="00727248" w:rsidP="00727248">
      <w:pPr>
        <w:tabs>
          <w:tab w:val="left" w:pos="1875"/>
        </w:tabs>
        <w:rPr>
          <w:lang w:eastAsia="ru-RU"/>
        </w:rPr>
      </w:pPr>
    </w:p>
    <w:p w:rsidR="00D04553" w:rsidRDefault="00BE7C65" w:rsidP="00727248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lastRenderedPageBreak/>
        <w:pict>
          <v:shape id="_x0000_s1081" type="#_x0000_t202" style="position:absolute;margin-left:599.55pt;margin-top:-30.65pt;width:137.25pt;height:22.5pt;z-index:251659776;visibility:visible;mso-wrap-distance-top:3.6pt;mso-wrap-distance-bottom:3.6pt;mso-width-relative:margin;mso-height-relative:margin" filled="f" stroked="f">
            <v:textbox style="mso-next-textbox:#_x0000_s1081">
              <w:txbxContent>
                <w:p w:rsidR="00343BE2" w:rsidRPr="000842DB" w:rsidRDefault="00343BE2" w:rsidP="00727248">
                  <w:pPr>
                    <w:spacing w:after="0" w:line="240" w:lineRule="auto"/>
                    <w:jc w:val="right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B2E21">
                    <w:rPr>
                      <w:rFonts w:ascii="PT Astra Serif" w:hAnsi="PT Astra Serif"/>
                      <w:sz w:val="28"/>
                      <w:szCs w:val="28"/>
                    </w:rPr>
                    <w:t>Д</w:t>
                  </w:r>
                  <w:r w:rsidRPr="00493915">
                    <w:rPr>
                      <w:rFonts w:ascii="PT Astra Serif" w:hAnsi="PT Astra Serif"/>
                      <w:sz w:val="28"/>
                      <w:szCs w:val="28"/>
                    </w:rPr>
                    <w:t>иаграмма 9</w:t>
                  </w:r>
                </w:p>
              </w:txbxContent>
            </v:textbox>
          </v:shape>
        </w:pict>
      </w:r>
      <w:r w:rsidR="00C31221">
        <w:rPr>
          <w:noProof/>
          <w:lang w:eastAsia="ru-RU"/>
        </w:rPr>
        <w:drawing>
          <wp:inline distT="0" distB="0" distL="0" distR="0">
            <wp:extent cx="9515475" cy="61341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27248" w:rsidRPr="00727248" w:rsidRDefault="00BE7C65" w:rsidP="00727248">
      <w:pPr>
        <w:rPr>
          <w:lang w:eastAsia="ru-RU"/>
        </w:rPr>
        <w:sectPr w:rsidR="00727248" w:rsidRPr="00727248" w:rsidSect="00B92CDD">
          <w:pgSz w:w="16838" w:h="11906" w:orient="landscape"/>
          <w:pgMar w:top="1138" w:right="962" w:bottom="851" w:left="1134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w:pict>
          <v:shape id="_x0000_s1082" type="#_x0000_t202" style="position:absolute;margin-left:8.25pt;margin-top:2.65pt;width:756.85pt;height:39.75pt;z-index:251660800" stroked="f">
            <v:textbox style="mso-next-textbox:#_x0000_s1082">
              <w:txbxContent>
                <w:p w:rsidR="00343BE2" w:rsidRPr="008B53EE" w:rsidRDefault="00343BE2" w:rsidP="00727248">
                  <w:pPr>
                    <w:rPr>
                      <w:rFonts w:ascii="PT Astra Serif" w:hAnsi="PT Astra Serif"/>
                    </w:rPr>
                  </w:pPr>
                  <w:r w:rsidRPr="008B53EE">
                    <w:rPr>
                      <w:rFonts w:ascii="PT Astra Serif" w:hAnsi="PT Astra Serif"/>
                    </w:rPr>
                    <w:t>* доля закупок, проведенных у СМП, от общего объема всех проведенных конкурентных процедур</w:t>
                  </w:r>
                </w:p>
              </w:txbxContent>
            </v:textbox>
          </v:shape>
        </w:pic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BE2" w:rsidRDefault="00343BE2" w:rsidP="008952FF">
      <w:pPr>
        <w:spacing w:after="0" w:line="240" w:lineRule="auto"/>
      </w:pPr>
      <w:r>
        <w:separator/>
      </w:r>
    </w:p>
  </w:endnote>
  <w:endnote w:type="continuationSeparator" w:id="1">
    <w:p w:rsidR="00343BE2" w:rsidRDefault="00343BE2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BE2" w:rsidRDefault="00343BE2" w:rsidP="008952FF">
      <w:pPr>
        <w:spacing w:after="0" w:line="240" w:lineRule="auto"/>
      </w:pPr>
      <w:r>
        <w:separator/>
      </w:r>
    </w:p>
  </w:footnote>
  <w:footnote w:type="continuationSeparator" w:id="1">
    <w:p w:rsidR="00343BE2" w:rsidRDefault="00343BE2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BE2" w:rsidRPr="00F64629" w:rsidRDefault="00343BE2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D26D95">
      <w:rPr>
        <w:rFonts w:ascii="Times New Roman" w:hAnsi="Times New Roman"/>
        <w:noProof/>
        <w:sz w:val="28"/>
        <w:szCs w:val="28"/>
      </w:rPr>
      <w:t>18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0"/>
  </w:num>
  <w:num w:numId="14">
    <w:abstractNumId w:val="23"/>
  </w:num>
  <w:num w:numId="15">
    <w:abstractNumId w:val="6"/>
  </w:num>
  <w:num w:numId="16">
    <w:abstractNumId w:val="20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21"/>
  </w:num>
  <w:num w:numId="22">
    <w:abstractNumId w:val="22"/>
  </w:num>
  <w:num w:numId="23">
    <w:abstractNumId w:val="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EA"/>
    <w:rsid w:val="000015EC"/>
    <w:rsid w:val="0001273A"/>
    <w:rsid w:val="00013CCE"/>
    <w:rsid w:val="00014AA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E11"/>
    <w:rsid w:val="00072A3B"/>
    <w:rsid w:val="00077D8B"/>
    <w:rsid w:val="000802B3"/>
    <w:rsid w:val="00080B38"/>
    <w:rsid w:val="000842DB"/>
    <w:rsid w:val="000871B9"/>
    <w:rsid w:val="00091DAA"/>
    <w:rsid w:val="000A314F"/>
    <w:rsid w:val="000A5818"/>
    <w:rsid w:val="000A6F49"/>
    <w:rsid w:val="000A7693"/>
    <w:rsid w:val="000B19FE"/>
    <w:rsid w:val="000B31F5"/>
    <w:rsid w:val="000B4EE7"/>
    <w:rsid w:val="000B72B6"/>
    <w:rsid w:val="000B76FC"/>
    <w:rsid w:val="000C3B63"/>
    <w:rsid w:val="000C3C6A"/>
    <w:rsid w:val="000D2292"/>
    <w:rsid w:val="000D277A"/>
    <w:rsid w:val="000D40CD"/>
    <w:rsid w:val="000D7F3F"/>
    <w:rsid w:val="000E08FE"/>
    <w:rsid w:val="000E6746"/>
    <w:rsid w:val="000F0AD6"/>
    <w:rsid w:val="000F2E9D"/>
    <w:rsid w:val="000F7CD3"/>
    <w:rsid w:val="00105AEB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374D"/>
    <w:rsid w:val="00161EB1"/>
    <w:rsid w:val="001630B0"/>
    <w:rsid w:val="00164CF2"/>
    <w:rsid w:val="0017734B"/>
    <w:rsid w:val="00186ED8"/>
    <w:rsid w:val="001A687C"/>
    <w:rsid w:val="001C0A2F"/>
    <w:rsid w:val="001C2479"/>
    <w:rsid w:val="001C5E79"/>
    <w:rsid w:val="001D3962"/>
    <w:rsid w:val="001D5ACC"/>
    <w:rsid w:val="001D6142"/>
    <w:rsid w:val="001E11F1"/>
    <w:rsid w:val="001E1A38"/>
    <w:rsid w:val="001E2CAC"/>
    <w:rsid w:val="001E3A76"/>
    <w:rsid w:val="001E4D0A"/>
    <w:rsid w:val="001E5AC3"/>
    <w:rsid w:val="001F3A22"/>
    <w:rsid w:val="002043D6"/>
    <w:rsid w:val="002123AE"/>
    <w:rsid w:val="002146B9"/>
    <w:rsid w:val="00214742"/>
    <w:rsid w:val="00222BCF"/>
    <w:rsid w:val="00224612"/>
    <w:rsid w:val="002253E4"/>
    <w:rsid w:val="0022583F"/>
    <w:rsid w:val="00226E74"/>
    <w:rsid w:val="002324CC"/>
    <w:rsid w:val="00232C7A"/>
    <w:rsid w:val="00234F4D"/>
    <w:rsid w:val="002461E0"/>
    <w:rsid w:val="00262501"/>
    <w:rsid w:val="00264C27"/>
    <w:rsid w:val="00266187"/>
    <w:rsid w:val="002721C8"/>
    <w:rsid w:val="002723FA"/>
    <w:rsid w:val="002834DD"/>
    <w:rsid w:val="0028362A"/>
    <w:rsid w:val="002A1E86"/>
    <w:rsid w:val="002A2D36"/>
    <w:rsid w:val="002A5A84"/>
    <w:rsid w:val="002B5673"/>
    <w:rsid w:val="002C0DB5"/>
    <w:rsid w:val="002C4E3F"/>
    <w:rsid w:val="002D4E74"/>
    <w:rsid w:val="002D727A"/>
    <w:rsid w:val="002D7BBA"/>
    <w:rsid w:val="002E24A8"/>
    <w:rsid w:val="002E44B0"/>
    <w:rsid w:val="002F19A8"/>
    <w:rsid w:val="002F3A58"/>
    <w:rsid w:val="002F65CD"/>
    <w:rsid w:val="002F7642"/>
    <w:rsid w:val="00300929"/>
    <w:rsid w:val="00313804"/>
    <w:rsid w:val="00315E00"/>
    <w:rsid w:val="003221D2"/>
    <w:rsid w:val="003253BD"/>
    <w:rsid w:val="00326EF3"/>
    <w:rsid w:val="003331B3"/>
    <w:rsid w:val="00335E81"/>
    <w:rsid w:val="00337F86"/>
    <w:rsid w:val="00342CE2"/>
    <w:rsid w:val="00343216"/>
    <w:rsid w:val="00343BE2"/>
    <w:rsid w:val="00343FE0"/>
    <w:rsid w:val="00344DCF"/>
    <w:rsid w:val="00346191"/>
    <w:rsid w:val="00350184"/>
    <w:rsid w:val="0035045A"/>
    <w:rsid w:val="00352149"/>
    <w:rsid w:val="003542F2"/>
    <w:rsid w:val="00360169"/>
    <w:rsid w:val="00366DFF"/>
    <w:rsid w:val="0036782A"/>
    <w:rsid w:val="003708AE"/>
    <w:rsid w:val="00371DB0"/>
    <w:rsid w:val="003722B8"/>
    <w:rsid w:val="0038157C"/>
    <w:rsid w:val="003971B5"/>
    <w:rsid w:val="003A7BB7"/>
    <w:rsid w:val="003B2E21"/>
    <w:rsid w:val="003B41D2"/>
    <w:rsid w:val="003B6D48"/>
    <w:rsid w:val="003C27BB"/>
    <w:rsid w:val="003D1747"/>
    <w:rsid w:val="003E0B6D"/>
    <w:rsid w:val="003E44A5"/>
    <w:rsid w:val="003E468B"/>
    <w:rsid w:val="003E5D0D"/>
    <w:rsid w:val="003E79DE"/>
    <w:rsid w:val="003F2A7F"/>
    <w:rsid w:val="003F30CD"/>
    <w:rsid w:val="003F3BFD"/>
    <w:rsid w:val="004007EA"/>
    <w:rsid w:val="0040106C"/>
    <w:rsid w:val="00404FE6"/>
    <w:rsid w:val="004105F7"/>
    <w:rsid w:val="004159E6"/>
    <w:rsid w:val="00421278"/>
    <w:rsid w:val="00422CFA"/>
    <w:rsid w:val="00423200"/>
    <w:rsid w:val="00424062"/>
    <w:rsid w:val="00431B01"/>
    <w:rsid w:val="00433037"/>
    <w:rsid w:val="00433442"/>
    <w:rsid w:val="0043570B"/>
    <w:rsid w:val="00441851"/>
    <w:rsid w:val="00441C62"/>
    <w:rsid w:val="00442A69"/>
    <w:rsid w:val="00443EBA"/>
    <w:rsid w:val="00452BC1"/>
    <w:rsid w:val="0046198A"/>
    <w:rsid w:val="00471F16"/>
    <w:rsid w:val="004742E6"/>
    <w:rsid w:val="0048279F"/>
    <w:rsid w:val="00485C32"/>
    <w:rsid w:val="00487C26"/>
    <w:rsid w:val="004922FE"/>
    <w:rsid w:val="00493915"/>
    <w:rsid w:val="004A038D"/>
    <w:rsid w:val="004A3682"/>
    <w:rsid w:val="004A5548"/>
    <w:rsid w:val="004A6108"/>
    <w:rsid w:val="004A6C5E"/>
    <w:rsid w:val="004B2292"/>
    <w:rsid w:val="004C18E2"/>
    <w:rsid w:val="004C40C9"/>
    <w:rsid w:val="004D3491"/>
    <w:rsid w:val="004D57AD"/>
    <w:rsid w:val="004D5B29"/>
    <w:rsid w:val="004E1390"/>
    <w:rsid w:val="004E1A30"/>
    <w:rsid w:val="004E7E55"/>
    <w:rsid w:val="004F292F"/>
    <w:rsid w:val="004F3A0B"/>
    <w:rsid w:val="004F5F56"/>
    <w:rsid w:val="004F6A21"/>
    <w:rsid w:val="005001FE"/>
    <w:rsid w:val="0050112C"/>
    <w:rsid w:val="005111BC"/>
    <w:rsid w:val="00511920"/>
    <w:rsid w:val="00511A08"/>
    <w:rsid w:val="00521F29"/>
    <w:rsid w:val="00523AA5"/>
    <w:rsid w:val="00542DEA"/>
    <w:rsid w:val="005445C3"/>
    <w:rsid w:val="005454A2"/>
    <w:rsid w:val="00545848"/>
    <w:rsid w:val="005515C9"/>
    <w:rsid w:val="005547F1"/>
    <w:rsid w:val="0055669D"/>
    <w:rsid w:val="005633B1"/>
    <w:rsid w:val="005645B8"/>
    <w:rsid w:val="00581E7F"/>
    <w:rsid w:val="00584E6B"/>
    <w:rsid w:val="00594A6D"/>
    <w:rsid w:val="005976FC"/>
    <w:rsid w:val="00597D99"/>
    <w:rsid w:val="005A07CE"/>
    <w:rsid w:val="005A5B68"/>
    <w:rsid w:val="005A661C"/>
    <w:rsid w:val="005A6882"/>
    <w:rsid w:val="005D5EFF"/>
    <w:rsid w:val="005D6C8B"/>
    <w:rsid w:val="005E032E"/>
    <w:rsid w:val="005E7EDF"/>
    <w:rsid w:val="005F2D59"/>
    <w:rsid w:val="0060120C"/>
    <w:rsid w:val="00604586"/>
    <w:rsid w:val="00610F4A"/>
    <w:rsid w:val="006133C8"/>
    <w:rsid w:val="006134AA"/>
    <w:rsid w:val="006217FD"/>
    <w:rsid w:val="0062232F"/>
    <w:rsid w:val="006226C1"/>
    <w:rsid w:val="0063105D"/>
    <w:rsid w:val="0063764D"/>
    <w:rsid w:val="00637B45"/>
    <w:rsid w:val="0064225D"/>
    <w:rsid w:val="00653F5E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BEC"/>
    <w:rsid w:val="006B3C18"/>
    <w:rsid w:val="006D71B5"/>
    <w:rsid w:val="006D7B5F"/>
    <w:rsid w:val="006E084E"/>
    <w:rsid w:val="006E7462"/>
    <w:rsid w:val="006E7CEA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40A5"/>
    <w:rsid w:val="00746A41"/>
    <w:rsid w:val="00750D00"/>
    <w:rsid w:val="00752EF0"/>
    <w:rsid w:val="0075595E"/>
    <w:rsid w:val="00757A9B"/>
    <w:rsid w:val="00757E6D"/>
    <w:rsid w:val="007617AD"/>
    <w:rsid w:val="00763460"/>
    <w:rsid w:val="00766A1D"/>
    <w:rsid w:val="00767282"/>
    <w:rsid w:val="007716E6"/>
    <w:rsid w:val="007734E6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C1C1C"/>
    <w:rsid w:val="007D2001"/>
    <w:rsid w:val="007D7599"/>
    <w:rsid w:val="007E430A"/>
    <w:rsid w:val="007F2B11"/>
    <w:rsid w:val="007F3C63"/>
    <w:rsid w:val="007F4548"/>
    <w:rsid w:val="00802B91"/>
    <w:rsid w:val="00805AE8"/>
    <w:rsid w:val="00806706"/>
    <w:rsid w:val="0081000B"/>
    <w:rsid w:val="00814EF5"/>
    <w:rsid w:val="00817EB0"/>
    <w:rsid w:val="00823BF0"/>
    <w:rsid w:val="008264FE"/>
    <w:rsid w:val="008275DD"/>
    <w:rsid w:val="00831ADA"/>
    <w:rsid w:val="008516EF"/>
    <w:rsid w:val="00853844"/>
    <w:rsid w:val="00864418"/>
    <w:rsid w:val="0086657D"/>
    <w:rsid w:val="0086763C"/>
    <w:rsid w:val="00881582"/>
    <w:rsid w:val="0088463E"/>
    <w:rsid w:val="008851F4"/>
    <w:rsid w:val="0088708A"/>
    <w:rsid w:val="00891001"/>
    <w:rsid w:val="00891846"/>
    <w:rsid w:val="00891A70"/>
    <w:rsid w:val="00894B67"/>
    <w:rsid w:val="008952FF"/>
    <w:rsid w:val="008A79A1"/>
    <w:rsid w:val="008B1BF8"/>
    <w:rsid w:val="008B53EE"/>
    <w:rsid w:val="008B6646"/>
    <w:rsid w:val="008D0A97"/>
    <w:rsid w:val="008D6674"/>
    <w:rsid w:val="008E1B30"/>
    <w:rsid w:val="008E773D"/>
    <w:rsid w:val="008F11B7"/>
    <w:rsid w:val="008F7283"/>
    <w:rsid w:val="009024DE"/>
    <w:rsid w:val="00910E5F"/>
    <w:rsid w:val="0092067E"/>
    <w:rsid w:val="009279E6"/>
    <w:rsid w:val="00930891"/>
    <w:rsid w:val="00932293"/>
    <w:rsid w:val="009337CE"/>
    <w:rsid w:val="009360F1"/>
    <w:rsid w:val="009361B7"/>
    <w:rsid w:val="0093629A"/>
    <w:rsid w:val="00937DDA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F5"/>
    <w:rsid w:val="009A41F9"/>
    <w:rsid w:val="009B0E5D"/>
    <w:rsid w:val="009B16D6"/>
    <w:rsid w:val="009B23A5"/>
    <w:rsid w:val="009B42EF"/>
    <w:rsid w:val="009B7316"/>
    <w:rsid w:val="009C1908"/>
    <w:rsid w:val="009C7575"/>
    <w:rsid w:val="009C7BD8"/>
    <w:rsid w:val="009D2AE2"/>
    <w:rsid w:val="009D49FD"/>
    <w:rsid w:val="009F174A"/>
    <w:rsid w:val="009F47ED"/>
    <w:rsid w:val="00A06845"/>
    <w:rsid w:val="00A13D50"/>
    <w:rsid w:val="00A43FE7"/>
    <w:rsid w:val="00A4413E"/>
    <w:rsid w:val="00A4496B"/>
    <w:rsid w:val="00A57121"/>
    <w:rsid w:val="00A67ED7"/>
    <w:rsid w:val="00A70A61"/>
    <w:rsid w:val="00A75AB0"/>
    <w:rsid w:val="00A80F0A"/>
    <w:rsid w:val="00A85BDF"/>
    <w:rsid w:val="00A866E6"/>
    <w:rsid w:val="00A92FC3"/>
    <w:rsid w:val="00A95E27"/>
    <w:rsid w:val="00AA16E2"/>
    <w:rsid w:val="00AB25AF"/>
    <w:rsid w:val="00AB29CF"/>
    <w:rsid w:val="00AB6901"/>
    <w:rsid w:val="00AB74DE"/>
    <w:rsid w:val="00AC5B6A"/>
    <w:rsid w:val="00AC79C5"/>
    <w:rsid w:val="00AD17B7"/>
    <w:rsid w:val="00AD3339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260AA"/>
    <w:rsid w:val="00B27D9A"/>
    <w:rsid w:val="00B3521A"/>
    <w:rsid w:val="00B42501"/>
    <w:rsid w:val="00B43A2E"/>
    <w:rsid w:val="00B47A14"/>
    <w:rsid w:val="00B60BA9"/>
    <w:rsid w:val="00B647F9"/>
    <w:rsid w:val="00B81C50"/>
    <w:rsid w:val="00B8482B"/>
    <w:rsid w:val="00B84918"/>
    <w:rsid w:val="00B872FA"/>
    <w:rsid w:val="00B92CDD"/>
    <w:rsid w:val="00B93F01"/>
    <w:rsid w:val="00B97EAF"/>
    <w:rsid w:val="00BA4001"/>
    <w:rsid w:val="00BA7BDF"/>
    <w:rsid w:val="00BB1A6A"/>
    <w:rsid w:val="00BB6CCF"/>
    <w:rsid w:val="00BB6DC5"/>
    <w:rsid w:val="00BB6E8D"/>
    <w:rsid w:val="00BC6937"/>
    <w:rsid w:val="00BD6A4D"/>
    <w:rsid w:val="00BD7F5C"/>
    <w:rsid w:val="00BE025F"/>
    <w:rsid w:val="00BE4689"/>
    <w:rsid w:val="00BE4A0A"/>
    <w:rsid w:val="00BE6763"/>
    <w:rsid w:val="00BE6E17"/>
    <w:rsid w:val="00BE7244"/>
    <w:rsid w:val="00BE7C65"/>
    <w:rsid w:val="00BF1C6D"/>
    <w:rsid w:val="00C03F7F"/>
    <w:rsid w:val="00C0423F"/>
    <w:rsid w:val="00C04CD4"/>
    <w:rsid w:val="00C050C3"/>
    <w:rsid w:val="00C05E22"/>
    <w:rsid w:val="00C15405"/>
    <w:rsid w:val="00C20822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6BEB"/>
    <w:rsid w:val="00C61C8A"/>
    <w:rsid w:val="00C634BE"/>
    <w:rsid w:val="00C658FF"/>
    <w:rsid w:val="00C67DA6"/>
    <w:rsid w:val="00C7464C"/>
    <w:rsid w:val="00C75281"/>
    <w:rsid w:val="00C76742"/>
    <w:rsid w:val="00C77FE5"/>
    <w:rsid w:val="00C860B2"/>
    <w:rsid w:val="00C90A86"/>
    <w:rsid w:val="00C966B0"/>
    <w:rsid w:val="00C96B7B"/>
    <w:rsid w:val="00CA2EBC"/>
    <w:rsid w:val="00CA54EC"/>
    <w:rsid w:val="00CA691A"/>
    <w:rsid w:val="00CB0081"/>
    <w:rsid w:val="00CB238E"/>
    <w:rsid w:val="00CB313B"/>
    <w:rsid w:val="00CB7043"/>
    <w:rsid w:val="00CC24E7"/>
    <w:rsid w:val="00CC714C"/>
    <w:rsid w:val="00CC7591"/>
    <w:rsid w:val="00CD071E"/>
    <w:rsid w:val="00CD5E2C"/>
    <w:rsid w:val="00CE110B"/>
    <w:rsid w:val="00CE5C33"/>
    <w:rsid w:val="00CE78AB"/>
    <w:rsid w:val="00CE7F6F"/>
    <w:rsid w:val="00CF67CA"/>
    <w:rsid w:val="00D02B38"/>
    <w:rsid w:val="00D0333E"/>
    <w:rsid w:val="00D04553"/>
    <w:rsid w:val="00D06D30"/>
    <w:rsid w:val="00D16E30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4FDB"/>
    <w:rsid w:val="00D56140"/>
    <w:rsid w:val="00D6359F"/>
    <w:rsid w:val="00D63609"/>
    <w:rsid w:val="00D64206"/>
    <w:rsid w:val="00D64C2C"/>
    <w:rsid w:val="00D65408"/>
    <w:rsid w:val="00D67207"/>
    <w:rsid w:val="00D71935"/>
    <w:rsid w:val="00D75E00"/>
    <w:rsid w:val="00D80BD7"/>
    <w:rsid w:val="00D81F87"/>
    <w:rsid w:val="00D92012"/>
    <w:rsid w:val="00D92D81"/>
    <w:rsid w:val="00D94869"/>
    <w:rsid w:val="00DA3264"/>
    <w:rsid w:val="00DB0D26"/>
    <w:rsid w:val="00DB2713"/>
    <w:rsid w:val="00DD1CD4"/>
    <w:rsid w:val="00DD2590"/>
    <w:rsid w:val="00DD3497"/>
    <w:rsid w:val="00DD52EC"/>
    <w:rsid w:val="00DE2333"/>
    <w:rsid w:val="00DE43F7"/>
    <w:rsid w:val="00DF0141"/>
    <w:rsid w:val="00DF1708"/>
    <w:rsid w:val="00DF52BB"/>
    <w:rsid w:val="00E0579C"/>
    <w:rsid w:val="00E116E2"/>
    <w:rsid w:val="00E14335"/>
    <w:rsid w:val="00E20D92"/>
    <w:rsid w:val="00E3063B"/>
    <w:rsid w:val="00E32E95"/>
    <w:rsid w:val="00E33F79"/>
    <w:rsid w:val="00E366A8"/>
    <w:rsid w:val="00E4162E"/>
    <w:rsid w:val="00E424B1"/>
    <w:rsid w:val="00E7346B"/>
    <w:rsid w:val="00E73CB7"/>
    <w:rsid w:val="00E8483D"/>
    <w:rsid w:val="00E84D97"/>
    <w:rsid w:val="00E84DFA"/>
    <w:rsid w:val="00E91328"/>
    <w:rsid w:val="00E9395F"/>
    <w:rsid w:val="00E97DEA"/>
    <w:rsid w:val="00EA0A08"/>
    <w:rsid w:val="00EA28DB"/>
    <w:rsid w:val="00EA6692"/>
    <w:rsid w:val="00EB193F"/>
    <w:rsid w:val="00EB6339"/>
    <w:rsid w:val="00EC1285"/>
    <w:rsid w:val="00EC6B81"/>
    <w:rsid w:val="00ED2244"/>
    <w:rsid w:val="00ED3AB7"/>
    <w:rsid w:val="00EE009E"/>
    <w:rsid w:val="00EE74B3"/>
    <w:rsid w:val="00EF1361"/>
    <w:rsid w:val="00EF5D03"/>
    <w:rsid w:val="00F02F2C"/>
    <w:rsid w:val="00F054A2"/>
    <w:rsid w:val="00F1231A"/>
    <w:rsid w:val="00F13EE9"/>
    <w:rsid w:val="00F27E21"/>
    <w:rsid w:val="00F30080"/>
    <w:rsid w:val="00F3058D"/>
    <w:rsid w:val="00F339CD"/>
    <w:rsid w:val="00F3774C"/>
    <w:rsid w:val="00F43C10"/>
    <w:rsid w:val="00F469F6"/>
    <w:rsid w:val="00F46C6E"/>
    <w:rsid w:val="00F4732B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13A5"/>
    <w:rsid w:val="00F958E9"/>
    <w:rsid w:val="00FA6366"/>
    <w:rsid w:val="00FB138C"/>
    <w:rsid w:val="00FB3DD7"/>
    <w:rsid w:val="00FB6CE1"/>
    <w:rsid w:val="00FC2EE9"/>
    <w:rsid w:val="00FD0700"/>
    <w:rsid w:val="00FD20C3"/>
    <w:rsid w:val="00FD34B4"/>
    <w:rsid w:val="00FE0D13"/>
    <w:rsid w:val="00FE41AF"/>
    <w:rsid w:val="00FF0C2A"/>
    <w:rsid w:val="00FF1AB9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7;&#1077;&#1085;&#1090;&#1103;&#1073;&#1088;&#1100;\&#1086;&#1090;&#1095;&#1077;&#1090;%20&#1088;&#1072;&#1073;&#1086;&#1095;&#1080;&#1081;%20&#1089;&#1077;&#1085;&#1090;&#1103;&#1073;&#1088;&#1100;%20.xlsx" TargetMode="External"/><Relationship Id="rId1" Type="http://schemas.openxmlformats.org/officeDocument/2006/relationships/image" Target="../media/image1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44;&#1043;&#1047;\&#1057;&#1077;&#1085;&#1090;&#1103;&#1073;&#1088;&#1100;\&#1086;&#1090;&#1095;&#1077;&#1090;%20&#1088;&#1072;&#1073;&#1086;&#1095;&#1080;&#1081;%20&#1089;&#1077;&#1085;&#1090;&#1103;&#1073;&#1088;&#1100;%20.xlsx" TargetMode="External"/><Relationship Id="rId1" Type="http://schemas.openxmlformats.org/officeDocument/2006/relationships/image" Target="../media/image1.pn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54;&#1043;&#1050;&#1059;\&#1089;&#1077;&#1085;&#1090;&#1103;&#1073;&#1088;&#1100;\+&#1057;&#1052;&#1055;%20&#1089;&#1077;&#1085;&#1090;&#1103;&#1073;&#1088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54;&#1043;&#1050;&#1059;\&#1089;&#1077;&#1085;&#1090;&#1103;&#1073;&#1088;&#1100;\+&#1055;&#1088;&#1086;&#1094;&#1077;&#1076;&#1091;&#1088;&#1099;%20&#1089;&#1077;&#1085;&#1090;&#1103;&#1073;&#1088;&#1100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54;&#1073;&#1084;&#1077;&#1085;\&#1054;&#1058;&#1044;&#1045;&#1051;%20&#1052;&#1054;&#1053;&#1048;&#1058;&#1054;&#1056;&#1048;&#1053;&#1043;&#1040;%20&#1048;%20&#1054;&#1058;&#1063;&#1045;&#1058;&#1053;&#1054;&#1057;&#1058;&#1048;\!&#1054;&#1058;&#1063;&#1025;&#1058;%202020\&#1054;&#1090;&#1095;&#1077;&#1090;%20&#1054;&#1043;&#1050;&#1059;\&#1089;&#1077;&#1085;&#1090;&#1103;&#1073;&#1088;&#1100;\+&#1057;&#1052;&#1055;%20&#1089;&#1077;&#1085;&#1090;&#1103;&#1073;&#1088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  <a:latin typeface="Times New Roman" pitchFamily="18" charset="0"/>
                <a:cs typeface="Times New Roman" pitchFamily="18" charset="0"/>
              </a:rPr>
              <a:t>Показатели ГРБС по объему конкурентных закупок </a:t>
            </a: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  <a:latin typeface="Times New Roman" pitchFamily="18" charset="0"/>
                <a:cs typeface="Times New Roman" pitchFamily="18" charset="0"/>
              </a:rPr>
              <a:t>(через Уполномоченный орган) </a:t>
            </a:r>
            <a:endParaRPr lang="ru-RU" sz="1800">
              <a:effectLst/>
              <a:latin typeface="Times New Roman" pitchFamily="18" charset="0"/>
              <a:cs typeface="Times New Roman" pitchFamily="18" charset="0"/>
            </a:endParaRPr>
          </a:p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  <a:latin typeface="Times New Roman" pitchFamily="18" charset="0"/>
                <a:cs typeface="Times New Roman" pitchFamily="18" charset="0"/>
              </a:rPr>
              <a:t>и среднему количеству участников</a:t>
            </a:r>
            <a:endParaRPr lang="ru-RU" sz="18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Графики!$D$37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Минпром</c:v>
                </c:pt>
                <c:pt idx="2">
                  <c:v>Минстрой</c:v>
                </c:pt>
                <c:pt idx="3">
                  <c:v>Минпросвещения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Минфин</c:v>
                </c:pt>
                <c:pt idx="8">
                  <c:v>Микульт</c:v>
                </c:pt>
                <c:pt idx="9">
                  <c:v>Мин ЖКХ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Графики!$D$38:$D$50</c:f>
              <c:numCache>
                <c:formatCode>0</c:formatCode>
                <c:ptCount val="13"/>
                <c:pt idx="0">
                  <c:v>6086.2053334700004</c:v>
                </c:pt>
                <c:pt idx="1">
                  <c:v>4724.3647217700009</c:v>
                </c:pt>
                <c:pt idx="2">
                  <c:v>1402.51101795</c:v>
                </c:pt>
                <c:pt idx="3">
                  <c:v>568.48936293000008</c:v>
                </c:pt>
                <c:pt idx="4">
                  <c:v>242.99113647000004</c:v>
                </c:pt>
                <c:pt idx="5">
                  <c:v>164.47214013000004</c:v>
                </c:pt>
                <c:pt idx="6">
                  <c:v>91.18633663</c:v>
                </c:pt>
                <c:pt idx="7">
                  <c:v>74.456745429999998</c:v>
                </c:pt>
                <c:pt idx="8">
                  <c:v>72.214439419999991</c:v>
                </c:pt>
                <c:pt idx="9">
                  <c:v>64.544207680000028</c:v>
                </c:pt>
                <c:pt idx="10">
                  <c:v>55.375866429999995</c:v>
                </c:pt>
                <c:pt idx="11">
                  <c:v>29.021389299999996</c:v>
                </c:pt>
                <c:pt idx="12">
                  <c:v>8.5859494200000004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/>
        <c:gapWidth val="75"/>
        <c:axId val="142822400"/>
        <c:axId val="142832384"/>
      </c:barChart>
      <c:lineChart>
        <c:grouping val="standard"/>
        <c:ser>
          <c:idx val="1"/>
          <c:order val="1"/>
          <c:tx>
            <c:strRef>
              <c:f>Графики!$E$37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Графики!$C$38:$C$50</c:f>
              <c:strCache>
                <c:ptCount val="13"/>
                <c:pt idx="0">
                  <c:v>Минздрав</c:v>
                </c:pt>
                <c:pt idx="1">
                  <c:v>Минпром</c:v>
                </c:pt>
                <c:pt idx="2">
                  <c:v>Минстрой</c:v>
                </c:pt>
                <c:pt idx="3">
                  <c:v>Минпросвещения</c:v>
                </c:pt>
                <c:pt idx="4">
                  <c:v>Правительство</c:v>
                </c:pt>
                <c:pt idx="5">
                  <c:v>Минсоц</c:v>
                </c:pt>
                <c:pt idx="6">
                  <c:v>Прочие</c:v>
                </c:pt>
                <c:pt idx="7">
                  <c:v>Минфин</c:v>
                </c:pt>
                <c:pt idx="8">
                  <c:v>Микульт</c:v>
                </c:pt>
                <c:pt idx="9">
                  <c:v>Мин ЖКХ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Минсельх</c:v>
                </c:pt>
              </c:strCache>
            </c:strRef>
          </c:cat>
          <c:val>
            <c:numRef>
              <c:f>Графики!$E$38:$E$50</c:f>
              <c:numCache>
                <c:formatCode>0.00</c:formatCode>
                <c:ptCount val="13"/>
                <c:pt idx="0">
                  <c:v>2.6495601173020535</c:v>
                </c:pt>
                <c:pt idx="1">
                  <c:v>2.6525423728813564</c:v>
                </c:pt>
                <c:pt idx="2">
                  <c:v>3.1630434782608692</c:v>
                </c:pt>
                <c:pt idx="3">
                  <c:v>4.3671874999999982</c:v>
                </c:pt>
                <c:pt idx="4">
                  <c:v>4.6195965417867422</c:v>
                </c:pt>
                <c:pt idx="5">
                  <c:v>4.4079422382671476</c:v>
                </c:pt>
                <c:pt idx="6">
                  <c:v>3.549815498154981</c:v>
                </c:pt>
                <c:pt idx="7">
                  <c:v>1.9428571428571431</c:v>
                </c:pt>
                <c:pt idx="8">
                  <c:v>3.1304347826086962</c:v>
                </c:pt>
                <c:pt idx="9">
                  <c:v>3.4444444444444442</c:v>
                </c:pt>
                <c:pt idx="10">
                  <c:v>3.88</c:v>
                </c:pt>
                <c:pt idx="11">
                  <c:v>5.2777777777777777</c:v>
                </c:pt>
                <c:pt idx="12">
                  <c:v>2.9090909090909087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/>
        <c:marker val="1"/>
        <c:axId val="142833920"/>
        <c:axId val="142839808"/>
      </c:lineChart>
      <c:catAx>
        <c:axId val="142822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32384"/>
        <c:crosses val="autoZero"/>
        <c:auto val="1"/>
        <c:lblAlgn val="ctr"/>
        <c:lblOffset val="100"/>
      </c:catAx>
      <c:valAx>
        <c:axId val="142832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22400"/>
        <c:crosses val="autoZero"/>
        <c:crossBetween val="between"/>
      </c:valAx>
      <c:catAx>
        <c:axId val="142833920"/>
        <c:scaling>
          <c:orientation val="minMax"/>
        </c:scaling>
        <c:delete val="1"/>
        <c:axPos val="b"/>
        <c:numFmt formatCode="General" sourceLinked="1"/>
        <c:tickLblPos val="none"/>
        <c:crossAx val="142839808"/>
        <c:crosses val="autoZero"/>
        <c:auto val="1"/>
        <c:lblAlgn val="ctr"/>
        <c:lblOffset val="100"/>
      </c:catAx>
      <c:valAx>
        <c:axId val="142839808"/>
        <c:scaling>
          <c:orientation val="minMax"/>
        </c:scaling>
        <c:axPos val="r"/>
        <c:numFmt formatCode="0.00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2833920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2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baseline="0">
                <a:effectLst/>
              </a:rPr>
              <a:t>Показатели ГРБС по объему самостоятельно проведенных заказчиками конкурентных закупок и среднему количеству участников</a:t>
            </a:r>
            <a:endParaRPr lang="ru-RU">
              <a:effectLst/>
            </a:endParaRP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Графики!$D$63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Минпросвещения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Минфин</c:v>
                </c:pt>
                <c:pt idx="8">
                  <c:v>Минпром</c:v>
                </c:pt>
                <c:pt idx="9">
                  <c:v>Минсельх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 ЖКХ</c:v>
                </c:pt>
              </c:strCache>
            </c:strRef>
          </c:cat>
          <c:val>
            <c:numRef>
              <c:f>Графики!$D$64:$D$76</c:f>
              <c:numCache>
                <c:formatCode>#,##0</c:formatCode>
                <c:ptCount val="13"/>
                <c:pt idx="0">
                  <c:v>165.22570225999999</c:v>
                </c:pt>
                <c:pt idx="1">
                  <c:v>29.072182549999997</c:v>
                </c:pt>
                <c:pt idx="2">
                  <c:v>17.67741307</c:v>
                </c:pt>
                <c:pt idx="3">
                  <c:v>2.61998358</c:v>
                </c:pt>
                <c:pt idx="4">
                  <c:v>1.4170921499999998</c:v>
                </c:pt>
                <c:pt idx="5">
                  <c:v>1.0834298699999998</c:v>
                </c:pt>
                <c:pt idx="6">
                  <c:v>0.16409135000000002</c:v>
                </c:pt>
                <c:pt idx="7">
                  <c:v>0.15319020000000003</c:v>
                </c:pt>
                <c:pt idx="8">
                  <c:v>7.8000000000000014E-2</c:v>
                </c:pt>
                <c:pt idx="9">
                  <c:v>3.6677460000000009E-2</c:v>
                </c:pt>
                <c:pt idx="10">
                  <c:v>2.9536E-2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/>
        <c:gapWidth val="75"/>
        <c:axId val="144976512"/>
        <c:axId val="144986496"/>
      </c:barChart>
      <c:lineChart>
        <c:grouping val="standard"/>
        <c:ser>
          <c:idx val="1"/>
          <c:order val="1"/>
          <c:tx>
            <c:strRef>
              <c:f>Графики!$E$63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Графики!$C$64:$C$76</c:f>
              <c:strCache>
                <c:ptCount val="13"/>
                <c:pt idx="0">
                  <c:v>Минстрой</c:v>
                </c:pt>
                <c:pt idx="1">
                  <c:v>Минздрав</c:v>
                </c:pt>
                <c:pt idx="2">
                  <c:v>Минпросвещения</c:v>
                </c:pt>
                <c:pt idx="3">
                  <c:v>Правительство</c:v>
                </c:pt>
                <c:pt idx="4">
                  <c:v>Минсоц</c:v>
                </c:pt>
                <c:pt idx="5">
                  <c:v>Прочие</c:v>
                </c:pt>
                <c:pt idx="6">
                  <c:v>Микульт</c:v>
                </c:pt>
                <c:pt idx="7">
                  <c:v>Минфин</c:v>
                </c:pt>
                <c:pt idx="8">
                  <c:v>Минпром</c:v>
                </c:pt>
                <c:pt idx="9">
                  <c:v>Минсельх</c:v>
                </c:pt>
                <c:pt idx="10">
                  <c:v>Минприроды</c:v>
                </c:pt>
                <c:pt idx="11">
                  <c:v>Минспорт</c:v>
                </c:pt>
                <c:pt idx="12">
                  <c:v>Мин ЖКХ</c:v>
                </c:pt>
              </c:strCache>
            </c:strRef>
          </c:cat>
          <c:val>
            <c:numRef>
              <c:f>Графики!$E$64:$E$76</c:f>
              <c:numCache>
                <c:formatCode>#,##0.00</c:formatCode>
                <c:ptCount val="13"/>
                <c:pt idx="0">
                  <c:v>2</c:v>
                </c:pt>
                <c:pt idx="1">
                  <c:v>2.859340659340659</c:v>
                </c:pt>
                <c:pt idx="2">
                  <c:v>3.4541832669322714</c:v>
                </c:pt>
                <c:pt idx="3">
                  <c:v>4.0249999999999995</c:v>
                </c:pt>
                <c:pt idx="4">
                  <c:v>2.3611111111111112</c:v>
                </c:pt>
                <c:pt idx="5">
                  <c:v>3.3333333333333335</c:v>
                </c:pt>
                <c:pt idx="6">
                  <c:v>2.4285714285714288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/>
        <c:marker val="1"/>
        <c:axId val="144988032"/>
        <c:axId val="144989568"/>
      </c:lineChart>
      <c:catAx>
        <c:axId val="144976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86496"/>
        <c:crosses val="autoZero"/>
        <c:auto val="1"/>
        <c:lblAlgn val="ctr"/>
        <c:lblOffset val="100"/>
      </c:catAx>
      <c:valAx>
        <c:axId val="1449864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76512"/>
        <c:crosses val="autoZero"/>
        <c:crossBetween val="between"/>
      </c:valAx>
      <c:catAx>
        <c:axId val="144988032"/>
        <c:scaling>
          <c:orientation val="minMax"/>
        </c:scaling>
        <c:delete val="1"/>
        <c:axPos val="b"/>
        <c:numFmt formatCode="General" sourceLinked="1"/>
        <c:tickLblPos val="none"/>
        <c:crossAx val="144989568"/>
        <c:crosses val="autoZero"/>
        <c:auto val="1"/>
        <c:lblAlgn val="ctr"/>
        <c:lblOffset val="100"/>
      </c:catAx>
      <c:valAx>
        <c:axId val="144989568"/>
        <c:scaling>
          <c:orientation val="minMax"/>
        </c:scaling>
        <c:axPos val="r"/>
        <c:numFmt formatCode="#,##0.00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98803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spPr>
        <a:noFill/>
        <a:ln w="25400">
          <a:noFill/>
        </a:ln>
      </c:spPr>
      <c:txPr>
        <a:bodyPr/>
        <a:lstStyle/>
        <a:p>
          <a:pPr>
            <a:defRPr sz="147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800" b="1"/>
              <a:t>Доля размещения у СМП в разрезе ГРБС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Минспорт</c:v>
                </c:pt>
                <c:pt idx="1">
                  <c:v>Минпросвещения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Прочие</c:v>
                </c:pt>
                <c:pt idx="5">
                  <c:v>Минсельхоз</c:v>
                </c:pt>
                <c:pt idx="6">
                  <c:v>Минприроды</c:v>
                </c:pt>
                <c:pt idx="7">
                  <c:v>Минкульт</c:v>
                </c:pt>
                <c:pt idx="8">
                  <c:v>Минздрав</c:v>
                </c:pt>
                <c:pt idx="9">
                  <c:v>Минфин</c:v>
                </c:pt>
                <c:pt idx="10">
                  <c:v>Минстрой</c:v>
                </c:pt>
                <c:pt idx="11">
                  <c:v>Минпром</c:v>
                </c:pt>
                <c:pt idx="12">
                  <c:v>Минэнерго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59.491375349146359</c:v>
                </c:pt>
                <c:pt idx="1">
                  <c:v>54.024446926347103</c:v>
                </c:pt>
                <c:pt idx="2">
                  <c:v>53.180592325060836</c:v>
                </c:pt>
                <c:pt idx="3">
                  <c:v>53.068424643585267</c:v>
                </c:pt>
                <c:pt idx="4">
                  <c:v>51.799965929251599</c:v>
                </c:pt>
                <c:pt idx="5">
                  <c:v>42.013030720401517</c:v>
                </c:pt>
                <c:pt idx="6">
                  <c:v>41.467309129334652</c:v>
                </c:pt>
                <c:pt idx="7">
                  <c:v>31.804146070814191</c:v>
                </c:pt>
                <c:pt idx="8">
                  <c:v>31.629601786066758</c:v>
                </c:pt>
                <c:pt idx="9">
                  <c:v>19.080918593201044</c:v>
                </c:pt>
                <c:pt idx="10">
                  <c:v>9.7856688602312047</c:v>
                </c:pt>
                <c:pt idx="11">
                  <c:v>4.9627881910728018</c:v>
                </c:pt>
                <c:pt idx="12">
                  <c:v>3.0827906663056894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/>
        <c:gapWidth val="219"/>
        <c:overlap val="-27"/>
        <c:axId val="145021184"/>
        <c:axId val="145027072"/>
      </c:barChart>
      <c:lineChart>
        <c:grouping val="standard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Минспорт</c:v>
                </c:pt>
                <c:pt idx="1">
                  <c:v>Минпросвещения</c:v>
                </c:pt>
                <c:pt idx="2">
                  <c:v>Минсоц</c:v>
                </c:pt>
                <c:pt idx="3">
                  <c:v>Правительство</c:v>
                </c:pt>
                <c:pt idx="4">
                  <c:v>Прочие</c:v>
                </c:pt>
                <c:pt idx="5">
                  <c:v>Минсельхоз</c:v>
                </c:pt>
                <c:pt idx="6">
                  <c:v>Минприроды</c:v>
                </c:pt>
                <c:pt idx="7">
                  <c:v>Минкульт</c:v>
                </c:pt>
                <c:pt idx="8">
                  <c:v>Минздрав</c:v>
                </c:pt>
                <c:pt idx="9">
                  <c:v>Минфин</c:v>
                </c:pt>
                <c:pt idx="10">
                  <c:v>Минстрой</c:v>
                </c:pt>
                <c:pt idx="11">
                  <c:v>Минпром</c:v>
                </c:pt>
                <c:pt idx="12">
                  <c:v>Минэнерго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/>
        <c:marker val="1"/>
        <c:axId val="145030144"/>
        <c:axId val="145028608"/>
      </c:lineChart>
      <c:catAx>
        <c:axId val="14502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27072"/>
        <c:crosses val="autoZero"/>
        <c:auto val="1"/>
        <c:lblAlgn val="ctr"/>
        <c:lblOffset val="100"/>
      </c:catAx>
      <c:valAx>
        <c:axId val="145027072"/>
        <c:scaling>
          <c:orientation val="minMax"/>
          <c:max val="105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21184"/>
        <c:crosses val="autoZero"/>
        <c:crossBetween val="between"/>
        <c:majorUnit val="15"/>
      </c:valAx>
      <c:valAx>
        <c:axId val="145028608"/>
        <c:scaling>
          <c:orientation val="minMax"/>
          <c:max val="105"/>
          <c:min val="0"/>
        </c:scaling>
        <c:delete val="1"/>
        <c:axPos val="r"/>
        <c:numFmt formatCode="General" sourceLinked="1"/>
        <c:tickLblPos val="none"/>
        <c:crossAx val="145030144"/>
        <c:crosses val="max"/>
        <c:crossBetween val="between"/>
        <c:majorUnit val="15"/>
        <c:minorUnit val="3"/>
      </c:valAx>
      <c:catAx>
        <c:axId val="145030144"/>
        <c:scaling>
          <c:orientation val="minMax"/>
        </c:scaling>
        <c:delete val="1"/>
        <c:axPos val="b"/>
        <c:numFmt formatCode="General" sourceLinked="1"/>
        <c:tickLblPos val="none"/>
        <c:crossAx val="14502860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Показатели по количеству извещений </a:t>
            </a:r>
          </a:p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и</a:t>
            </a:r>
            <a:r>
              <a:rPr lang="ru-RU" sz="2400" b="1" baseline="0"/>
              <a:t> среднему количеству участников </a:t>
            </a:r>
          </a:p>
          <a:p>
            <a:pPr>
              <a:defRPr sz="2400" b="1" i="0" u="none" strike="noStrike" kern="1200" spc="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Министерство здравоохранения</a:t>
            </a:r>
          </a:p>
        </c:rich>
      </c:tx>
      <c:layout>
        <c:manualLayout>
          <c:xMode val="edge"/>
          <c:yMode val="edge"/>
          <c:x val="0.25377760040504976"/>
          <c:y val="1.461366069467532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Графики!$C$169</c:f>
              <c:strCache>
                <c:ptCount val="1"/>
                <c:pt idx="0">
                  <c:v>Состоявшиеся</c:v>
                </c:pt>
              </c:strCache>
            </c:strRef>
          </c:tx>
          <c:spPr>
            <a:pattFill prst="horzBrick">
              <a:fgClr>
                <a:schemeClr val="tx1"/>
              </a:fgClr>
              <a:bgClr>
                <a:schemeClr val="bg1"/>
              </a:bgClr>
            </a:pattFill>
            <a:ln w="15875">
              <a:solidFill>
                <a:srgbClr val="080808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Графики!$D$169:$G$169</c:f>
              <c:numCache>
                <c:formatCode>0</c:formatCode>
                <c:ptCount val="4"/>
                <c:pt idx="0">
                  <c:v>235</c:v>
                </c:pt>
                <c:pt idx="1">
                  <c:v>486</c:v>
                </c:pt>
                <c:pt idx="2">
                  <c:v>786</c:v>
                </c:pt>
                <c:pt idx="3">
                  <c:v>1299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6F-4396-B147-7D4FB609BA2F}"/>
            </c:ext>
          </c:extLst>
        </c:ser>
        <c:ser>
          <c:idx val="1"/>
          <c:order val="1"/>
          <c:tx>
            <c:strRef>
              <c:f>Графики!$C$170</c:f>
              <c:strCache>
                <c:ptCount val="1"/>
                <c:pt idx="0">
                  <c:v>Не состоявшиеся (1 заявка)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rgbClr val="080808"/>
              </a:solidFill>
            </a:ln>
            <a:effectLst/>
          </c:spPr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Графики!$D$170:$G$170</c:f>
              <c:numCache>
                <c:formatCode>0</c:formatCode>
                <c:ptCount val="4"/>
                <c:pt idx="0">
                  <c:v>142</c:v>
                </c:pt>
                <c:pt idx="1">
                  <c:v>250</c:v>
                </c:pt>
                <c:pt idx="2">
                  <c:v>457</c:v>
                </c:pt>
                <c:pt idx="3">
                  <c:v>1058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6F-4396-B147-7D4FB609BA2F}"/>
            </c:ext>
          </c:extLst>
        </c:ser>
        <c:ser>
          <c:idx val="2"/>
          <c:order val="2"/>
          <c:tx>
            <c:strRef>
              <c:f>Графики!$C$171</c:f>
              <c:strCache>
                <c:ptCount val="1"/>
                <c:pt idx="0">
                  <c:v>Не состоявшиеся (0 заявок)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  <a:ln>
              <a:solidFill>
                <a:srgbClr val="080808"/>
              </a:solidFill>
            </a:ln>
            <a:effectLst/>
          </c:spPr>
          <c:dLbls>
            <c:dLbl>
              <c:idx val="0"/>
              <c:layout>
                <c:manualLayout>
                  <c:x val="1.2231709020163089E-3"/>
                  <c:y val="-2.194171192864641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58-4230-AD26-19485549F506}"/>
                </c:ext>
              </c:extLst>
            </c:dLbl>
            <c:dLbl>
              <c:idx val="1"/>
              <c:layout>
                <c:manualLayout>
                  <c:x val="-2.4463418040326199E-3"/>
                  <c:y val="-1.828475994053872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58-4230-AD26-19485549F506}"/>
                </c:ext>
              </c:extLst>
            </c:dLbl>
            <c:dLbl>
              <c:idx val="2"/>
              <c:layout>
                <c:manualLayout>
                  <c:x val="3.6695127060489283E-3"/>
                  <c:y val="-2.194171192864624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58-4230-AD26-19485549F506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Графики!$D$171:$G$171</c:f>
              <c:numCache>
                <c:formatCode>0</c:formatCode>
                <c:ptCount val="4"/>
                <c:pt idx="0">
                  <c:v>44</c:v>
                </c:pt>
                <c:pt idx="1">
                  <c:v>97</c:v>
                </c:pt>
                <c:pt idx="2">
                  <c:v>110</c:v>
                </c:pt>
                <c:pt idx="3">
                  <c:v>164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6F-4396-B147-7D4FB609BA2F}"/>
            </c:ext>
          </c:extLst>
        </c:ser>
        <c:dLbls/>
        <c:overlap val="100"/>
        <c:axId val="145051648"/>
        <c:axId val="145053184"/>
      </c:barChart>
      <c:lineChart>
        <c:grouping val="standard"/>
        <c:ser>
          <c:idx val="3"/>
          <c:order val="3"/>
          <c:tx>
            <c:strRef>
              <c:f>Графики!$C$172</c:f>
              <c:strCache>
                <c:ptCount val="1"/>
                <c:pt idx="0">
                  <c:v>Индикатор</c:v>
                </c:pt>
              </c:strCache>
            </c:strRef>
          </c:tx>
          <c:spPr>
            <a:ln w="28575" cap="rnd">
              <a:solidFill>
                <a:srgbClr val="080808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7.3390254120978349E-3"/>
                  <c:y val="1.279933195837697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58-4230-AD26-19485549F506}"/>
                </c:ext>
              </c:extLst>
            </c:dLbl>
            <c:dLbl>
              <c:idx val="1"/>
              <c:layout>
                <c:manualLayout>
                  <c:x val="7.3390254120978089E-3"/>
                  <c:y val="-1.097085596432316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58-4230-AD26-19485549F506}"/>
                </c:ext>
              </c:extLst>
            </c:dLbl>
            <c:dLbl>
              <c:idx val="2"/>
              <c:layout>
                <c:manualLayout>
                  <c:x val="1.1008538118146761E-2"/>
                  <c:y val="-3.291256789296943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58-4230-AD26-19485549F506}"/>
                </c:ext>
              </c:extLst>
            </c:dLbl>
            <c:dLbl>
              <c:idx val="3"/>
              <c:layout>
                <c:manualLayout>
                  <c:x val="2.8325519299090402E-2"/>
                  <c:y val="-3.540648343111494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FA5-441D-B17D-E5E25AAC0ACF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rgbClr val="080808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Графики!$D$167:$G$168</c:f>
              <c:strCache>
                <c:ptCount val="4"/>
                <c:pt idx="0">
                  <c:v>0-50</c:v>
                </c:pt>
                <c:pt idx="1">
                  <c:v>50-100</c:v>
                </c:pt>
                <c:pt idx="2">
                  <c:v>100-300</c:v>
                </c:pt>
                <c:pt idx="3">
                  <c:v>&gt;300</c:v>
                </c:pt>
              </c:strCache>
            </c:strRef>
          </c:cat>
          <c:val>
            <c:numRef>
              <c:f>Графики!$D$172:$G$172</c:f>
              <c:numCache>
                <c:formatCode>0.00</c:formatCode>
                <c:ptCount val="4"/>
                <c:pt idx="0">
                  <c:v>2.2945368171021396</c:v>
                </c:pt>
                <c:pt idx="1">
                  <c:v>2.5774309723889566</c:v>
                </c:pt>
                <c:pt idx="2">
                  <c:v>2.6252771618625288</c:v>
                </c:pt>
                <c:pt idx="3">
                  <c:v>2.7516858389527972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6F-4396-B147-7D4FB609BA2F}"/>
            </c:ext>
          </c:extLst>
        </c:ser>
        <c:dLbls/>
        <c:marker val="1"/>
        <c:axId val="145068800"/>
        <c:axId val="145054720"/>
      </c:lineChart>
      <c:catAx>
        <c:axId val="145051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53184"/>
        <c:crosses val="autoZero"/>
        <c:auto val="1"/>
        <c:lblAlgn val="ctr"/>
        <c:lblOffset val="100"/>
      </c:catAx>
      <c:valAx>
        <c:axId val="1450531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51648"/>
        <c:crosses val="autoZero"/>
        <c:crossBetween val="between"/>
      </c:valAx>
      <c:valAx>
        <c:axId val="145054720"/>
        <c:scaling>
          <c:orientation val="minMax"/>
        </c:scaling>
        <c:axPos val="r"/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rgbClr val="080808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068800"/>
        <c:crosses val="max"/>
        <c:crossBetween val="between"/>
      </c:valAx>
      <c:catAx>
        <c:axId val="145068800"/>
        <c:scaling>
          <c:orientation val="minMax"/>
        </c:scaling>
        <c:delete val="1"/>
        <c:axPos val="b"/>
        <c:numFmt formatCode="General" sourceLinked="1"/>
        <c:tickLblPos val="none"/>
        <c:crossAx val="145054720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rgbClr val="080808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rgbClr val="080808"/>
          </a:solidFill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Calibri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Calibri"/>
              </a:rPr>
              <a:t>по объему размещения и среднему количеству участников</a:t>
            </a:r>
          </a:p>
        </c:rich>
      </c:tx>
      <c:layout/>
      <c:spPr>
        <a:noFill/>
        <a:ln w="25400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4344</a:t>
                    </a:r>
                    <a:endParaRPr lang="en-US"/>
                  </a:p>
                </c:rich>
              </c:tx>
              <c:showVal val="1"/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Чердаклинский район</c:v>
                </c:pt>
                <c:pt idx="4">
                  <c:v>Ульяновский район</c:v>
                </c:pt>
                <c:pt idx="5">
                  <c:v>Мелекесский район</c:v>
                </c:pt>
                <c:pt idx="6">
                  <c:v>Николаевский район </c:v>
                </c:pt>
                <c:pt idx="7">
                  <c:v>Барышский район</c:v>
                </c:pt>
                <c:pt idx="8">
                  <c:v>Инзенский район</c:v>
                </c:pt>
                <c:pt idx="9">
                  <c:v>Карсунский район</c:v>
                </c:pt>
                <c:pt idx="10">
                  <c:v>Сенгилеевский район</c:v>
                </c:pt>
                <c:pt idx="11">
                  <c:v>Старомайнский район</c:v>
                </c:pt>
                <c:pt idx="12">
                  <c:v>Цильнинский район</c:v>
                </c:pt>
                <c:pt idx="13">
                  <c:v>Вешкаймский район 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Старокулаткинский район</c:v>
                </c:pt>
                <c:pt idx="17">
                  <c:v>Кузоватовский район </c:v>
                </c:pt>
                <c:pt idx="18">
                  <c:v>Майнский район</c:v>
                </c:pt>
                <c:pt idx="19">
                  <c:v>Радищевский район</c:v>
                </c:pt>
                <c:pt idx="20">
                  <c:v>Новоспасский район</c:v>
                </c:pt>
                <c:pt idx="21">
                  <c:v>Павловский район</c:v>
                </c:pt>
                <c:pt idx="22">
                  <c:v>Базарносызганский район</c:v>
                </c:pt>
                <c:pt idx="23">
                  <c:v>Новомалыклинский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1303.2196620000002</c:v>
                </c:pt>
                <c:pt idx="1">
                  <c:v>812.42560999999978</c:v>
                </c:pt>
                <c:pt idx="2">
                  <c:v>458.34810000000004</c:v>
                </c:pt>
                <c:pt idx="3">
                  <c:v>305.70078151000001</c:v>
                </c:pt>
                <c:pt idx="4">
                  <c:v>303.58854999999988</c:v>
                </c:pt>
                <c:pt idx="5">
                  <c:v>255.14584000000002</c:v>
                </c:pt>
                <c:pt idx="6">
                  <c:v>228.73830000000001</c:v>
                </c:pt>
                <c:pt idx="7">
                  <c:v>222.71363999999997</c:v>
                </c:pt>
                <c:pt idx="8">
                  <c:v>213.51485368999994</c:v>
                </c:pt>
                <c:pt idx="9">
                  <c:v>175.62630958000003</c:v>
                </c:pt>
                <c:pt idx="10">
                  <c:v>172.82585500000002</c:v>
                </c:pt>
                <c:pt idx="11">
                  <c:v>168.63505971999999</c:v>
                </c:pt>
                <c:pt idx="12">
                  <c:v>165.64780999999999</c:v>
                </c:pt>
                <c:pt idx="13">
                  <c:v>152.95869685000011</c:v>
                </c:pt>
                <c:pt idx="14">
                  <c:v>142.62054999999998</c:v>
                </c:pt>
                <c:pt idx="15">
                  <c:v>138.6088</c:v>
                </c:pt>
                <c:pt idx="16">
                  <c:v>130.68597</c:v>
                </c:pt>
                <c:pt idx="17">
                  <c:v>130.65550000000002</c:v>
                </c:pt>
                <c:pt idx="18">
                  <c:v>127.92252999999999</c:v>
                </c:pt>
                <c:pt idx="19">
                  <c:v>117.44304199999999</c:v>
                </c:pt>
                <c:pt idx="20">
                  <c:v>112.69971934000002</c:v>
                </c:pt>
                <c:pt idx="21">
                  <c:v>78.186789999999988</c:v>
                </c:pt>
                <c:pt idx="22">
                  <c:v>65.067970000000003</c:v>
                </c:pt>
                <c:pt idx="23">
                  <c:v>62.762960000000014</c:v>
                </c:pt>
              </c:numCache>
            </c:numRef>
          </c:val>
        </c:ser>
        <c:dLbls/>
        <c:gapWidth val="75"/>
        <c:axId val="145871232"/>
        <c:axId val="145872768"/>
      </c:barChart>
      <c:lineChart>
        <c:grouping val="standard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691322675574664E-2"/>
                  <c:y val="3.243931857915354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9629629629629641E-2"/>
                  <c:y val="-4.3602983362019496E-2"/>
                </c:manualLayout>
              </c:layout>
              <c:showVal val="1"/>
            </c:dLbl>
            <c:dLbl>
              <c:idx val="3"/>
              <c:layout>
                <c:manualLayout>
                  <c:x val="-2.5589225589225592E-2"/>
                  <c:y val="-2.7538726333907051E-2"/>
                </c:manualLayout>
              </c:layout>
              <c:showVal val="1"/>
            </c:dLbl>
            <c:dLbl>
              <c:idx val="4"/>
              <c:layout>
                <c:manualLayout>
                  <c:x val="-2.4242424242424211E-2"/>
                  <c:y val="2.9833620195065989E-2"/>
                </c:manualLayout>
              </c:layout>
              <c:showVal val="1"/>
            </c:dLbl>
            <c:dLbl>
              <c:idx val="5"/>
              <c:layout>
                <c:manualLayout>
                  <c:x val="-2.3319615912208505E-2"/>
                  <c:y val="-3.3806999912359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0202020202020211E-2"/>
                  <c:y val="4.1308089500860574E-2"/>
                </c:manualLayout>
              </c:layout>
              <c:showVal val="1"/>
            </c:dLbl>
            <c:dLbl>
              <c:idx val="7"/>
              <c:layout>
                <c:manualLayout>
                  <c:x val="-8.5547336885919614E-3"/>
                  <c:y val="3.0911136107986507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2.6063100137174462E-2"/>
                  <c:y val="-3.900807682195389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2.0476364696837088E-2"/>
                  <c:y val="3.290028505472961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2.5589225589225561E-2"/>
                  <c:y val="-3.2128514056224897E-2"/>
                </c:manualLayout>
              </c:layout>
              <c:showVal val="1"/>
            </c:dLbl>
            <c:dLbl>
              <c:idx val="11"/>
              <c:layout>
                <c:manualLayout>
                  <c:x val="-2.6063100137174462E-2"/>
                  <c:y val="3.380699991235981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3.097643097643098E-2"/>
                  <c:y val="-3.9013195639701681E-2"/>
                </c:manualLayout>
              </c:layout>
              <c:showVal val="1"/>
            </c:dLbl>
            <c:dLbl>
              <c:idx val="13"/>
              <c:layout>
                <c:manualLayout>
                  <c:x val="-2.2895622895622896E-2"/>
                  <c:y val="2.7538726333907051E-2"/>
                </c:manualLayout>
              </c:layout>
              <c:showVal val="1"/>
            </c:dLbl>
            <c:dLbl>
              <c:idx val="14"/>
              <c:layout>
                <c:manualLayout>
                  <c:x val="-1.4465919032848166E-3"/>
                  <c:y val="2.586020120978854E-2"/>
                </c:manualLayout>
              </c:layout>
              <c:dLblPos val="r"/>
              <c:showVal val="1"/>
            </c:dLbl>
            <c:dLbl>
              <c:idx val="15"/>
              <c:layout>
                <c:manualLayout>
                  <c:x val="-1.7832647462277092E-2"/>
                  <c:y val="-3.380699991235981E-2"/>
                </c:manualLayout>
              </c:layout>
              <c:dLblPos val="r"/>
              <c:showVal val="1"/>
            </c:dLbl>
            <c:dLbl>
              <c:idx val="16"/>
              <c:layout>
                <c:manualLayout>
                  <c:x val="-7.0332723561070043E-3"/>
                  <c:y val="2.8155095070947458E-2"/>
                </c:manualLayout>
              </c:layout>
              <c:dLblPos val="r"/>
              <c:showVal val="1"/>
            </c:dLbl>
            <c:dLbl>
              <c:idx val="17"/>
              <c:layout>
                <c:manualLayout>
                  <c:x val="-2.6063100137174389E-2"/>
                  <c:y val="-4.9410230641142375E-2"/>
                </c:manualLayout>
              </c:layout>
              <c:dLblPos val="r"/>
              <c:showVal val="1"/>
            </c:dLbl>
            <c:dLbl>
              <c:idx val="18"/>
              <c:layout>
                <c:manualLayout>
                  <c:x val="-1.6435960656433105E-2"/>
                  <c:y val="3.2439318579153546E-2"/>
                </c:manualLayout>
              </c:layout>
              <c:dLblPos val="r"/>
              <c:showVal val="1"/>
            </c:dLbl>
            <c:dLbl>
              <c:idx val="19"/>
              <c:layout>
                <c:manualLayout>
                  <c:x val="-1.3717421124828581E-3"/>
                  <c:y val="-3.380699991235981E-2"/>
                </c:manualLayout>
              </c:layout>
              <c:dLblPos val="r"/>
              <c:showVal val="1"/>
            </c:dLbl>
            <c:dLbl>
              <c:idx val="20"/>
              <c:layout>
                <c:manualLayout>
                  <c:x val="1.3717421124827581E-3"/>
                  <c:y val="-1.8203769183578463E-2"/>
                </c:manualLayout>
              </c:layout>
              <c:dLblPos val="r"/>
              <c:showVal val="1"/>
            </c:dLbl>
            <c:dLbl>
              <c:idx val="21"/>
              <c:layout>
                <c:manualLayout>
                  <c:x val="-4.0404040404040414E-2"/>
                  <c:y val="3.4423407917383818E-2"/>
                </c:manualLayout>
              </c:layout>
              <c:showVal val="1"/>
            </c:dLbl>
            <c:dLbl>
              <c:idx val="22"/>
              <c:layout>
                <c:manualLayout>
                  <c:x val="-1.8979930538985657E-2"/>
                  <c:y val="3.0449988932106382E-2"/>
                </c:manualLayout>
              </c:layout>
              <c:dLblPos val="r"/>
              <c:showVal val="1"/>
            </c:dLbl>
            <c:dLbl>
              <c:idx val="23"/>
              <c:layout>
                <c:manualLayout>
                  <c:x val="-2.0202020202020211E-2"/>
                  <c:y val="-3.6718301778542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3,7</a:t>
                    </a:r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Новоульяновск </c:v>
                </c:pt>
                <c:pt idx="3">
                  <c:v>Чердаклинский район</c:v>
                </c:pt>
                <c:pt idx="4">
                  <c:v>Ульяновский район</c:v>
                </c:pt>
                <c:pt idx="5">
                  <c:v>Мелекесский район</c:v>
                </c:pt>
                <c:pt idx="6">
                  <c:v>Николаевский район </c:v>
                </c:pt>
                <c:pt idx="7">
                  <c:v>Барышский район</c:v>
                </c:pt>
                <c:pt idx="8">
                  <c:v>Инзенский район</c:v>
                </c:pt>
                <c:pt idx="9">
                  <c:v>Карсунский район</c:v>
                </c:pt>
                <c:pt idx="10">
                  <c:v>Сенгилеевский район</c:v>
                </c:pt>
                <c:pt idx="11">
                  <c:v>Старомайнский район</c:v>
                </c:pt>
                <c:pt idx="12">
                  <c:v>Цильнинский район</c:v>
                </c:pt>
                <c:pt idx="13">
                  <c:v>Вешкаймский район </c:v>
                </c:pt>
                <c:pt idx="14">
                  <c:v>Сурский район</c:v>
                </c:pt>
                <c:pt idx="15">
                  <c:v>Тереньгульский район</c:v>
                </c:pt>
                <c:pt idx="16">
                  <c:v>Старокулаткинский район</c:v>
                </c:pt>
                <c:pt idx="17">
                  <c:v>Кузоватовский район </c:v>
                </c:pt>
                <c:pt idx="18">
                  <c:v>Майнский район</c:v>
                </c:pt>
                <c:pt idx="19">
                  <c:v>Радищевский район</c:v>
                </c:pt>
                <c:pt idx="20">
                  <c:v>Новоспасский район</c:v>
                </c:pt>
                <c:pt idx="21">
                  <c:v>Павловский район</c:v>
                </c:pt>
                <c:pt idx="22">
                  <c:v>Базарносызганский район</c:v>
                </c:pt>
                <c:pt idx="23">
                  <c:v>Новомалыклинский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4.6862068965517238</c:v>
                </c:pt>
                <c:pt idx="1">
                  <c:v>3.5380507343124172</c:v>
                </c:pt>
                <c:pt idx="2">
                  <c:v>5.9428571428571431</c:v>
                </c:pt>
                <c:pt idx="3">
                  <c:v>6.44</c:v>
                </c:pt>
                <c:pt idx="4">
                  <c:v>4.75</c:v>
                </c:pt>
                <c:pt idx="5">
                  <c:v>5.4545454545454515</c:v>
                </c:pt>
                <c:pt idx="6">
                  <c:v>4.0238095238095237</c:v>
                </c:pt>
                <c:pt idx="7">
                  <c:v>4.8837209302325579</c:v>
                </c:pt>
                <c:pt idx="8">
                  <c:v>5.5333333333333359</c:v>
                </c:pt>
                <c:pt idx="9">
                  <c:v>3.9230769230769229</c:v>
                </c:pt>
                <c:pt idx="10">
                  <c:v>4.4714285714285724</c:v>
                </c:pt>
                <c:pt idx="11">
                  <c:v>3.465034965034965</c:v>
                </c:pt>
                <c:pt idx="12">
                  <c:v>5.6582278481012658</c:v>
                </c:pt>
                <c:pt idx="13">
                  <c:v>3.1</c:v>
                </c:pt>
                <c:pt idx="14">
                  <c:v>3.155844155844155</c:v>
                </c:pt>
                <c:pt idx="15">
                  <c:v>4.6818181818181834</c:v>
                </c:pt>
                <c:pt idx="16">
                  <c:v>3.2894736842105261</c:v>
                </c:pt>
                <c:pt idx="17">
                  <c:v>4.5</c:v>
                </c:pt>
                <c:pt idx="18">
                  <c:v>2.8636363636363642</c:v>
                </c:pt>
                <c:pt idx="19">
                  <c:v>7.2432432432432448</c:v>
                </c:pt>
                <c:pt idx="20">
                  <c:v>4.8780487804878083</c:v>
                </c:pt>
                <c:pt idx="21">
                  <c:v>4.0222222222222221</c:v>
                </c:pt>
                <c:pt idx="22">
                  <c:v>3.2307692307692308</c:v>
                </c:pt>
                <c:pt idx="23">
                  <c:v>3.7441860465116297</c:v>
                </c:pt>
              </c:numCache>
            </c:numRef>
          </c:val>
        </c:ser>
        <c:dLbls/>
        <c:marker val="1"/>
        <c:axId val="145874304"/>
        <c:axId val="149103744"/>
      </c:lineChart>
      <c:catAx>
        <c:axId val="1458712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872768"/>
        <c:crosses val="autoZero"/>
        <c:auto val="1"/>
        <c:lblAlgn val="ctr"/>
        <c:lblOffset val="100"/>
      </c:catAx>
      <c:valAx>
        <c:axId val="1458727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871232"/>
        <c:crosses val="autoZero"/>
        <c:crossBetween val="between"/>
      </c:valAx>
      <c:catAx>
        <c:axId val="145874304"/>
        <c:scaling>
          <c:orientation val="minMax"/>
        </c:scaling>
        <c:delete val="1"/>
        <c:axPos val="b"/>
        <c:tickLblPos val="nextTo"/>
        <c:crossAx val="149103744"/>
        <c:crosses val="autoZero"/>
        <c:auto val="1"/>
        <c:lblAlgn val="ctr"/>
        <c:lblOffset val="100"/>
      </c:catAx>
      <c:valAx>
        <c:axId val="149103744"/>
        <c:scaling>
          <c:orientation val="minMax"/>
        </c:scaling>
        <c:axPos val="r"/>
        <c:numFmt formatCode="0.00" sourceLinked="1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874304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 b="1"/>
              <a:t>Доля размещения у СМП в разрезе муниципальных образований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Новоспасский район</c:v>
                </c:pt>
                <c:pt idx="1">
                  <c:v>Сурский район</c:v>
                </c:pt>
                <c:pt idx="2">
                  <c:v>Инзенский район</c:v>
                </c:pt>
                <c:pt idx="3">
                  <c:v>Базарносызганский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Карсунский район</c:v>
                </c:pt>
                <c:pt idx="7">
                  <c:v>Старомайнский район</c:v>
                </c:pt>
                <c:pt idx="8">
                  <c:v>Мелекесский район</c:v>
                </c:pt>
                <c:pt idx="9">
                  <c:v>Майнский район</c:v>
                </c:pt>
                <c:pt idx="10">
                  <c:v>Новомалыклинский район</c:v>
                </c:pt>
                <c:pt idx="11">
                  <c:v>Тереньгульский район</c:v>
                </c:pt>
                <c:pt idx="12">
                  <c:v>Сенгилеевский район</c:v>
                </c:pt>
                <c:pt idx="13">
                  <c:v>Ульяновский район</c:v>
                </c:pt>
                <c:pt idx="14">
                  <c:v>Радищевский район</c:v>
                </c:pt>
                <c:pt idx="15">
                  <c:v>Димитровград </c:v>
                </c:pt>
                <c:pt idx="16">
                  <c:v>Вешкаймский район </c:v>
                </c:pt>
                <c:pt idx="17">
                  <c:v>Чердаклинский район</c:v>
                </c:pt>
                <c:pt idx="18">
                  <c:v>Павловский район</c:v>
                </c:pt>
                <c:pt idx="19">
                  <c:v>Николаевский район </c:v>
                </c:pt>
                <c:pt idx="20">
                  <c:v>Старокулаткинский район</c:v>
                </c:pt>
                <c:pt idx="21">
                  <c:v>Барышский район</c:v>
                </c:pt>
                <c:pt idx="22">
                  <c:v>Ульяновск </c:v>
                </c:pt>
                <c:pt idx="23">
                  <c:v>Новоульяновск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96.082955813870868</c:v>
                </c:pt>
                <c:pt idx="1">
                  <c:v>95.210262066457503</c:v>
                </c:pt>
                <c:pt idx="2">
                  <c:v>91.396411655404208</c:v>
                </c:pt>
                <c:pt idx="3">
                  <c:v>87.111491034034827</c:v>
                </c:pt>
                <c:pt idx="4">
                  <c:v>86.219796573357087</c:v>
                </c:pt>
                <c:pt idx="5">
                  <c:v>81.875393220431263</c:v>
                </c:pt>
                <c:pt idx="6">
                  <c:v>71.262566032567079</c:v>
                </c:pt>
                <c:pt idx="7">
                  <c:v>68.954539317147564</c:v>
                </c:pt>
                <c:pt idx="8">
                  <c:v>65.784650975788026</c:v>
                </c:pt>
                <c:pt idx="9">
                  <c:v>63.952826246516857</c:v>
                </c:pt>
                <c:pt idx="10">
                  <c:v>62.136869299309325</c:v>
                </c:pt>
                <c:pt idx="11">
                  <c:v>59.934560481510765</c:v>
                </c:pt>
                <c:pt idx="12">
                  <c:v>57.823748367616034</c:v>
                </c:pt>
                <c:pt idx="13">
                  <c:v>57.579911923048556</c:v>
                </c:pt>
                <c:pt idx="14">
                  <c:v>52.286008369236896</c:v>
                </c:pt>
                <c:pt idx="15">
                  <c:v>44.782080135800989</c:v>
                </c:pt>
                <c:pt idx="16">
                  <c:v>43.733626825447203</c:v>
                </c:pt>
                <c:pt idx="17">
                  <c:v>41.763896767815524</c:v>
                </c:pt>
                <c:pt idx="18">
                  <c:v>40.811343777706142</c:v>
                </c:pt>
                <c:pt idx="19">
                  <c:v>33.130124964515808</c:v>
                </c:pt>
                <c:pt idx="20">
                  <c:v>23.923384589260337</c:v>
                </c:pt>
                <c:pt idx="21">
                  <c:v>22.386627844315541</c:v>
                </c:pt>
                <c:pt idx="22">
                  <c:v>16.047983370322914</c:v>
                </c:pt>
                <c:pt idx="23">
                  <c:v>5.9095856376462432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/>
        <c:axId val="225419264"/>
        <c:axId val="225420800"/>
      </c:barChart>
      <c:lineChart>
        <c:grouping val="standard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Новоспасский район</c:v>
                </c:pt>
                <c:pt idx="1">
                  <c:v>Сурский район</c:v>
                </c:pt>
                <c:pt idx="2">
                  <c:v>Инзенский район</c:v>
                </c:pt>
                <c:pt idx="3">
                  <c:v>Базарносызганский район</c:v>
                </c:pt>
                <c:pt idx="4">
                  <c:v>Кузоватовский район </c:v>
                </c:pt>
                <c:pt idx="5">
                  <c:v>Цильнинский район</c:v>
                </c:pt>
                <c:pt idx="6">
                  <c:v>Карсунский район</c:v>
                </c:pt>
                <c:pt idx="7">
                  <c:v>Старомайнский район</c:v>
                </c:pt>
                <c:pt idx="8">
                  <c:v>Мелекесский район</c:v>
                </c:pt>
                <c:pt idx="9">
                  <c:v>Майнский район</c:v>
                </c:pt>
                <c:pt idx="10">
                  <c:v>Новомалыклинский район</c:v>
                </c:pt>
                <c:pt idx="11">
                  <c:v>Тереньгульский район</c:v>
                </c:pt>
                <c:pt idx="12">
                  <c:v>Сенгилеевский район</c:v>
                </c:pt>
                <c:pt idx="13">
                  <c:v>Ульяновский район</c:v>
                </c:pt>
                <c:pt idx="14">
                  <c:v>Радищевский район</c:v>
                </c:pt>
                <c:pt idx="15">
                  <c:v>Димитровград </c:v>
                </c:pt>
                <c:pt idx="16">
                  <c:v>Вешкаймский район </c:v>
                </c:pt>
                <c:pt idx="17">
                  <c:v>Чердаклинский район</c:v>
                </c:pt>
                <c:pt idx="18">
                  <c:v>Павловский район</c:v>
                </c:pt>
                <c:pt idx="19">
                  <c:v>Николаевский район </c:v>
                </c:pt>
                <c:pt idx="20">
                  <c:v>Старокулаткинский район</c:v>
                </c:pt>
                <c:pt idx="21">
                  <c:v>Барышский район</c:v>
                </c:pt>
                <c:pt idx="22">
                  <c:v>Ульяновск </c:v>
                </c:pt>
                <c:pt idx="23">
                  <c:v>Новоульяновск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/>
        <c:marker val="1"/>
        <c:axId val="225424128"/>
        <c:axId val="225422336"/>
      </c:lineChart>
      <c:catAx>
        <c:axId val="225419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420800"/>
        <c:crossesAt val="0"/>
        <c:auto val="1"/>
        <c:lblAlgn val="ctr"/>
        <c:lblOffset val="100"/>
      </c:catAx>
      <c:valAx>
        <c:axId val="225420800"/>
        <c:scaling>
          <c:orientation val="minMax"/>
          <c:max val="105"/>
          <c:min val="0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419264"/>
        <c:crosses val="autoZero"/>
        <c:crossBetween val="between"/>
        <c:majorUnit val="15"/>
      </c:valAx>
      <c:valAx>
        <c:axId val="225422336"/>
        <c:scaling>
          <c:orientation val="minMax"/>
          <c:max val="105"/>
          <c:min val="0"/>
        </c:scaling>
        <c:delete val="1"/>
        <c:axPos val="r"/>
        <c:numFmt formatCode="0.00" sourceLinked="1"/>
        <c:tickLblPos val="none"/>
        <c:crossAx val="225424128"/>
        <c:crosses val="max"/>
        <c:crossBetween val="between"/>
        <c:majorUnit val="15"/>
        <c:minorUnit val="5"/>
      </c:valAx>
      <c:catAx>
        <c:axId val="225424128"/>
        <c:scaling>
          <c:orientation val="minMax"/>
        </c:scaling>
        <c:delete val="1"/>
        <c:axPos val="b"/>
        <c:numFmt formatCode="General" sourceLinked="1"/>
        <c:tickLblPos val="none"/>
        <c:crossAx val="225422336"/>
        <c:crossesAt val="0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0.01111</cdr:x>
      <cdr:y>0.13253</cdr:y>
    </cdr:from>
    <cdr:to>
      <cdr:x>0.04646</cdr:x>
      <cdr:y>0.16523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04775" y="733425"/>
          <a:ext cx="333375" cy="18097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0.06364</cdr:x>
      <cdr:y>0.2117</cdr:y>
    </cdr:from>
    <cdr:to>
      <cdr:x>0.08485</cdr:x>
      <cdr:y>0.24096</cdr:y>
    </cdr:to>
    <cdr:sp macro="" textlink="">
      <cdr:nvSpPr>
        <cdr:cNvPr id="4" name="Блок-схема: перфолента 3"/>
        <cdr:cNvSpPr/>
      </cdr:nvSpPr>
      <cdr:spPr>
        <a:xfrm xmlns:a="http://schemas.openxmlformats.org/drawingml/2006/main">
          <a:off x="600075" y="1171575"/>
          <a:ext cx="200025" cy="161925"/>
        </a:xfrm>
        <a:prstGeom xmlns:a="http://schemas.openxmlformats.org/drawingml/2006/main" prst="flowChartPunchedTape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C182-B32A-4A5F-9806-C329BBE8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19</cp:revision>
  <cp:lastPrinted>2020-10-20T05:18:00Z</cp:lastPrinted>
  <dcterms:created xsi:type="dcterms:W3CDTF">2020-09-17T11:25:00Z</dcterms:created>
  <dcterms:modified xsi:type="dcterms:W3CDTF">2020-10-20T05:18:00Z</dcterms:modified>
</cp:coreProperties>
</file>