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542F2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 xml:space="preserve"> январь</w:t>
            </w:r>
            <w:r w:rsidR="00080B38">
              <w:rPr>
                <w:rFonts w:ascii="PT Astra Serif" w:hAnsi="PT Astra Serif"/>
                <w:b/>
                <w:sz w:val="48"/>
                <w:szCs w:val="48"/>
              </w:rPr>
              <w:t>-</w:t>
            </w:r>
            <w:r w:rsidR="00313E37">
              <w:rPr>
                <w:rFonts w:ascii="PT Astra Serif" w:hAnsi="PT Astra Serif"/>
                <w:b/>
                <w:sz w:val="48"/>
                <w:szCs w:val="48"/>
              </w:rPr>
              <w:t>ок</w:t>
            </w:r>
            <w:r w:rsidR="00C67DA6">
              <w:rPr>
                <w:rFonts w:ascii="PT Astra Serif" w:hAnsi="PT Astra Serif"/>
                <w:b/>
                <w:sz w:val="48"/>
                <w:szCs w:val="48"/>
              </w:rPr>
              <w:t>тябрь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20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4F6A21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16"/>
          <w:szCs w:val="16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>, в том числе согласно информации, полученной из единой информационной системы в сфере закупок,</w:t>
      </w:r>
      <w:r w:rsidR="003860B4" w:rsidRPr="003860B4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>на диаграммах 1</w:t>
      </w:r>
      <w:r w:rsidR="00AE0F68" w:rsidRPr="00D04553">
        <w:rPr>
          <w:rFonts w:ascii="PT Astra Serif" w:hAnsi="PT Astra Serif"/>
          <w:sz w:val="28"/>
        </w:rPr>
        <w:t>-</w:t>
      </w:r>
      <w:r w:rsidR="003860B4" w:rsidRPr="003860B4">
        <w:rPr>
          <w:rFonts w:ascii="PT Astra Serif" w:hAnsi="PT Astra Serif"/>
          <w:sz w:val="28"/>
        </w:rPr>
        <w:t>10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отчету).</w:t>
      </w:r>
    </w:p>
    <w:p w:rsidR="00D67207" w:rsidRPr="004F6A21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региональной информационной </w:t>
      </w:r>
      <w:r w:rsidR="00FB3DD7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0A7693">
        <w:rPr>
          <w:rFonts w:ascii="PT Astra Serif" w:hAnsi="PT Astra Serif"/>
          <w:sz w:val="28"/>
          <w:szCs w:val="28"/>
        </w:rPr>
        <w:br/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«АЦК-Госзаказ» (далее </w:t>
      </w:r>
      <w:r w:rsidR="00FB3DD7">
        <w:rPr>
          <w:rFonts w:ascii="PT Astra Serif" w:hAnsi="PT Astra Serif"/>
          <w:sz w:val="28"/>
          <w:szCs w:val="28"/>
          <w:lang w:eastAsia="ru-RU"/>
        </w:rPr>
        <w:t>–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заказчики, Закон № 44-ФЗ</w:t>
      </w:r>
      <w:r w:rsidR="00FB3DD7">
        <w:rPr>
          <w:rFonts w:ascii="PT Astra Serif" w:hAnsi="PT Astra Serif"/>
          <w:sz w:val="28"/>
          <w:szCs w:val="28"/>
          <w:lang w:eastAsia="ru-RU"/>
        </w:rPr>
        <w:t>, РИС АЦК-Госзаказ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соответственно)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 xml:space="preserve">проведен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 xml:space="preserve">256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государственных заказчиков Ульяновской области на 2020 год на предмет наличия планов-графиков в единой информационной системе в сфере закупок (далее – ЕИС). </w:t>
      </w:r>
    </w:p>
    <w:p w:rsidR="007A7A50" w:rsidRDefault="007A7A50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23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080B38" w:rsidRPr="00E424B1" w:rsidRDefault="00F3774C" w:rsidP="00DD52EC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нформация по 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объему несостоявших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государственных 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 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лекарственных препаратов и медицинских изделий в 2019 году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D52EC" w:rsidRPr="00E424B1" w:rsidRDefault="00F3774C" w:rsidP="00DD52E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 по государственным закупкам (проведенным и запланированным) отрасли здравоохранения Ульяновской области на бюджет 2020 года.</w:t>
      </w:r>
    </w:p>
    <w:p w:rsidR="00DD52EC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налитическая справка по объемам запланированных и проведенныхМинистерством здравоохранения Ульяновской области и подведомственными ему лечебными учреждениями закупок на выделенные лимиты 2020 года.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объеме экономии по проведенным конкурентным процедурам на бюджет 2020 года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источников финансирования 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3F2A7F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А</w:t>
      </w:r>
      <w:r w:rsidR="00C05E22" w:rsidRPr="00E424B1">
        <w:rPr>
          <w:rFonts w:ascii="PT Astra Serif" w:hAnsi="PT Astra Serif"/>
          <w:sz w:val="28"/>
          <w:szCs w:val="28"/>
        </w:rPr>
        <w:t>налитическая справка по объектному составу закупок на бюджет 2019 года, осуществленных муниципальными образованиями Ульяновской области с предоставлением преимуществ субъектам малого предпринимательства.</w:t>
      </w:r>
    </w:p>
    <w:p w:rsidR="00F3774C" w:rsidRDefault="002324C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/>
          <w:sz w:val="28"/>
          <w:szCs w:val="28"/>
        </w:rPr>
        <w:t xml:space="preserve"> по мерам поддержки субъектов малого предпринимательства (еженедельно) (в соответствии с перечнем поручений Правительств</w:t>
      </w:r>
      <w:r w:rsidR="00B0242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РФ от 26.04.2020 № ММ-П43-4054кв, </w:t>
      </w:r>
      <w:r w:rsidR="00F054A2" w:rsidRPr="00F054A2">
        <w:rPr>
          <w:rFonts w:ascii="PT Astra Serif" w:hAnsi="PT Astra Serif"/>
          <w:sz w:val="28"/>
          <w:szCs w:val="28"/>
        </w:rPr>
        <w:t>распоряжением</w:t>
      </w:r>
      <w:r w:rsidRPr="002324CC">
        <w:rPr>
          <w:rFonts w:ascii="PT Astra Serif" w:hAnsi="PT Astra Serif"/>
          <w:sz w:val="28"/>
          <w:szCs w:val="28"/>
        </w:rPr>
        <w:t>Губернатор</w:t>
      </w:r>
      <w:r>
        <w:rPr>
          <w:rFonts w:ascii="PT Astra Serif" w:hAnsi="PT Astra Serif"/>
          <w:sz w:val="28"/>
          <w:szCs w:val="28"/>
        </w:rPr>
        <w:t>а</w:t>
      </w:r>
      <w:r w:rsidRPr="002324C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054A2" w:rsidRPr="00F054A2">
        <w:rPr>
          <w:rFonts w:ascii="PT Astra Serif" w:hAnsi="PT Astra Serif"/>
          <w:sz w:val="28"/>
          <w:szCs w:val="28"/>
        </w:rPr>
        <w:t xml:space="preserve"> от 01.06.2020 469-р «Об утверждении плана действий по нормализации деловой жизни, восстановлению занятости, доходов граждан и роста экономики»</w:t>
      </w:r>
      <w:r>
        <w:rPr>
          <w:rFonts w:ascii="PT Astra Serif" w:hAnsi="PT Astra Serif"/>
          <w:sz w:val="28"/>
          <w:szCs w:val="28"/>
        </w:rPr>
        <w:t>).</w:t>
      </w:r>
    </w:p>
    <w:p w:rsidR="00C05E22" w:rsidRPr="00F67B64" w:rsidRDefault="00C05E22" w:rsidP="00C05E22">
      <w:pPr>
        <w:spacing w:after="0" w:line="240" w:lineRule="auto"/>
        <w:ind w:left="1069"/>
        <w:jc w:val="both"/>
        <w:rPr>
          <w:rFonts w:ascii="PT Astra Serif" w:hAnsi="PT Astra Serif"/>
          <w:sz w:val="16"/>
          <w:szCs w:val="16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 xml:space="preserve">осуществляется обучение/консультирование заказчиков(пользователей)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300929" w:rsidRDefault="00E424B1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21.01.2020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</w:rPr>
              <w:t xml:space="preserve">Использование юридически значимого электронного документооборота </w:t>
            </w:r>
            <w:r w:rsidRPr="00300929">
              <w:rPr>
                <w:rFonts w:ascii="PT Astra Serif" w:eastAsia="Times New Roman" w:hAnsi="PT Astra Serif"/>
                <w:sz w:val="24"/>
                <w:szCs w:val="24"/>
              </w:rPr>
              <w:br/>
              <w:t>в АЦК-Госзаказ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424B1" w:rsidRPr="00300929" w:rsidTr="00E424B1">
        <w:trPr>
          <w:trHeight w:val="270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274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264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11.02.2020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253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06.07.2020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Самостоятельное размещение закупок до 300 тысяч рублей, с использованием РИС «АЦК-Госзаказ», составление протоколов по закупкам на электронных торговых площадках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E424B1" w:rsidRPr="00300929" w:rsidTr="00E424B1">
        <w:trPr>
          <w:trHeight w:val="275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08.07.2020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21.07.2020 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Создание Заявок на закупку с учётом новых рекомендуемых форм документов и методических рекомендаций, используемых заказчиками при подготовке к осуществлению закупок товаров, работ, услуг, утверждённых распоряжением Агентства государственных закупок Ульяновской области от 15.07.2020 № 30-р.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Вебинар,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муниципальных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работе с новыми формами документов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1. Обзор новых рекомендуемых форм документов и методических рекомендаций, используемых заказчиками при подготовке к осуществлению закупок товаров, работ, услуг, утверждённых распоряжением Агентства государственных закупок Ульяновской области от 15.07.2020 № 30-р;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2. 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300929" w:rsidP="000015EC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0015EC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Вебинар, направленный на обучение </w:t>
            </w:r>
            <w:r w:rsidRPr="0030092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государственных</w:t>
            </w: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заказчиков заполнению отчётных форм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Вебинар,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 xml:space="preserve">муниципальных 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>заказчиков работе с новыми формами документов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Вебинар,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государственных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заполнению отчётных форм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Вебинар,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муниципальных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работе с новыми формами документов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09.09.2020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C67DA6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16.09.2020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C67DA6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23.09.2020</w:t>
            </w: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Разъяснение заказчикам использования «национального режима» в закупках</w:t>
            </w:r>
          </w:p>
        </w:tc>
        <w:tc>
          <w:tcPr>
            <w:tcW w:w="1701" w:type="dxa"/>
          </w:tcPr>
          <w:p w:rsidR="00C67DA6" w:rsidRDefault="00D30D5E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30.09.2020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D30D5E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07.10.2020</w:t>
            </w:r>
          </w:p>
        </w:tc>
        <w:tc>
          <w:tcPr>
            <w:tcW w:w="5529" w:type="dxa"/>
          </w:tcPr>
          <w:p w:rsidR="00313E37" w:rsidRPr="008C4042" w:rsidRDefault="00313E37" w:rsidP="00313E37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313E37">
              <w:rPr>
                <w:rFonts w:ascii="PT Astra Serif" w:eastAsia="Batang" w:hAnsi="PT Astra Serif"/>
                <w:lang w:eastAsia="en-US"/>
              </w:rPr>
              <w:t xml:space="preserve">Вебинар, направленный на разбор типичных ошибок при работе в АЦК-ГЗ 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14.10.2020</w:t>
            </w:r>
          </w:p>
        </w:tc>
        <w:tc>
          <w:tcPr>
            <w:tcW w:w="5529" w:type="dxa"/>
          </w:tcPr>
          <w:p w:rsidR="00313E37" w:rsidRPr="008C4042" w:rsidRDefault="00313E37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313E37">
              <w:rPr>
                <w:rFonts w:ascii="PT Astra Serif" w:eastAsia="Batang" w:hAnsi="PT Astra Serif"/>
                <w:lang w:eastAsia="en-US"/>
              </w:rPr>
              <w:t>Составление и размещение протоколов по закупкам на ЭТП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21.10.2020</w:t>
            </w:r>
          </w:p>
        </w:tc>
        <w:tc>
          <w:tcPr>
            <w:tcW w:w="5529" w:type="dxa"/>
          </w:tcPr>
          <w:p w:rsidR="00313E37" w:rsidRPr="00313E37" w:rsidRDefault="00313E37" w:rsidP="00313E37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13E37">
              <w:rPr>
                <w:rFonts w:ascii="PT Astra Serif" w:eastAsia="Batang" w:hAnsi="PT Astra Serif"/>
                <w:b/>
                <w:lang w:eastAsia="en-US"/>
              </w:rPr>
              <w:t>Новая рубрика.</w:t>
            </w:r>
            <w:r w:rsidRPr="00313E37">
              <w:rPr>
                <w:rFonts w:ascii="PT Astra Serif" w:eastAsia="Batang" w:hAnsi="PT Astra Serif"/>
                <w:lang w:eastAsia="en-US"/>
              </w:rPr>
              <w:t xml:space="preserve">  ГОСЗАКУПКИ. Мнение эксперта.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Рассматриваемые вопросы на вебинаре: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1. Указание в проекте контракта условия об НДС. Вариативные формулировки.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2. Новые правила проведения строительных закупок.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3. Практика ненадлежащего исполнения контракта: мотивированный отказ от приёмки товара. 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</w:tr>
      <w:tr w:rsidR="00313E37" w:rsidRPr="00300929" w:rsidTr="00F67B64">
        <w:trPr>
          <w:trHeight w:val="126"/>
        </w:trPr>
        <w:tc>
          <w:tcPr>
            <w:tcW w:w="709" w:type="dxa"/>
          </w:tcPr>
          <w:p w:rsidR="00313E37" w:rsidRDefault="00313E37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</w:tcPr>
          <w:p w:rsidR="00313E37" w:rsidRPr="008C4042" w:rsidRDefault="00313E37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>
              <w:rPr>
                <w:rFonts w:ascii="PT Astra Serif" w:eastAsia="Batang" w:hAnsi="PT Astra Serif"/>
                <w:lang w:eastAsia="en-US"/>
              </w:rPr>
              <w:t>28.10.2020</w:t>
            </w:r>
          </w:p>
        </w:tc>
        <w:tc>
          <w:tcPr>
            <w:tcW w:w="5529" w:type="dxa"/>
          </w:tcPr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>
              <w:rPr>
                <w:rFonts w:ascii="PT Astra Serif" w:eastAsia="Batang" w:hAnsi="PT Astra Serif"/>
                <w:sz w:val="24"/>
                <w:szCs w:val="24"/>
              </w:rPr>
              <w:t>С</w:t>
            </w: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овместный </w:t>
            </w:r>
            <w:r>
              <w:rPr>
                <w:rFonts w:ascii="PT Astra Serif" w:eastAsia="Batang" w:hAnsi="PT Astra Serif"/>
                <w:sz w:val="24"/>
                <w:szCs w:val="24"/>
              </w:rPr>
              <w:t>о</w:t>
            </w:r>
            <w:r w:rsidRPr="00313E37">
              <w:rPr>
                <w:rFonts w:ascii="PT Astra Serif" w:eastAsia="Batang" w:hAnsi="PT Astra Serif"/>
                <w:sz w:val="24"/>
                <w:szCs w:val="24"/>
              </w:rPr>
              <w:t>нлайн-семинар с РТС-Тендер. 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 xml:space="preserve">Порядок определения НМЦК при закупках медизделий. </w:t>
            </w:r>
          </w:p>
          <w:p w:rsidR="00313E37" w:rsidRPr="00313E37" w:rsidRDefault="00313E37" w:rsidP="00313E37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13E37">
              <w:rPr>
                <w:rFonts w:ascii="PT Astra Serif" w:eastAsia="Batang" w:hAnsi="PT Astra Serif"/>
                <w:sz w:val="24"/>
                <w:szCs w:val="24"/>
              </w:rPr>
              <w:t>Приказ Минздрава России от 15.05.2020 N 450н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изделий».</w:t>
            </w:r>
          </w:p>
        </w:tc>
        <w:tc>
          <w:tcPr>
            <w:tcW w:w="1701" w:type="dxa"/>
          </w:tcPr>
          <w:p w:rsidR="00313E37" w:rsidRDefault="00313E37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59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300929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300929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300929" w:rsidRDefault="00313E37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498</w:t>
            </w:r>
          </w:p>
        </w:tc>
      </w:tr>
    </w:tbl>
    <w:p w:rsidR="00300929" w:rsidRDefault="00300929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РИС «АЦК-Госзаказ» в соответствии с Р</w:t>
      </w:r>
      <w:r w:rsidRPr="00DD3497">
        <w:rPr>
          <w:rFonts w:ascii="PT Astra Serif" w:hAnsi="PT Astra Serif"/>
          <w:sz w:val="28"/>
          <w:szCs w:val="28"/>
        </w:rPr>
        <w:t>егламент</w:t>
      </w:r>
      <w:r>
        <w:rPr>
          <w:rFonts w:ascii="PT Astra Serif" w:hAnsi="PT Astra Serif"/>
          <w:sz w:val="28"/>
          <w:szCs w:val="28"/>
        </w:rPr>
        <w:t>омо</w:t>
      </w:r>
      <w:r w:rsidRPr="00DD3497">
        <w:rPr>
          <w:rFonts w:ascii="PT Astra Serif" w:hAnsi="PT Astra Serif"/>
          <w:sz w:val="28"/>
          <w:szCs w:val="28"/>
        </w:rPr>
        <w:t>бработки обращений пользователей</w:t>
      </w:r>
      <w:r>
        <w:rPr>
          <w:rFonts w:ascii="PT Astra Serif" w:hAnsi="PT Astra Serif"/>
          <w:sz w:val="28"/>
          <w:szCs w:val="28"/>
        </w:rPr>
        <w:t xml:space="preserve"> от 28.02.2019</w:t>
      </w:r>
      <w:r w:rsidR="00F958E9">
        <w:rPr>
          <w:rFonts w:ascii="PT Astra Serif" w:hAnsi="PT Astra Serif"/>
          <w:sz w:val="28"/>
          <w:szCs w:val="28"/>
        </w:rPr>
        <w:t xml:space="preserve">,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701"/>
        <w:gridCol w:w="1843"/>
      </w:tblGrid>
      <w:tr w:rsidR="00BD7F5C" w:rsidRPr="008516EF" w:rsidTr="00E7346B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личных приёмов </w:t>
            </w:r>
            <w:r w:rsidRPr="008516E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D7F5C" w:rsidRPr="008516EF" w:rsidTr="00E7346B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FF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FF" w:rsidRPr="008516EF" w:rsidRDefault="005D5EFF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62501" w:rsidRPr="008516E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C5E79" w:rsidRPr="0085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26EF3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F30CD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6C6E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A6D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B93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713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713" w:rsidRPr="008516EF" w:rsidRDefault="00032D89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DB27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DB27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032D89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Pr="008516EF" w:rsidRDefault="00032D8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929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29" w:rsidRDefault="00300929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9" w:rsidRDefault="0030092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DA6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Default="00C67DA6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E37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313E37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6D01B5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6D01B5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E37" w:rsidRDefault="00313E37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E37" w:rsidRDefault="00313E3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0CD" w:rsidRPr="008516EF" w:rsidTr="006D71B5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313E3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313E37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313E37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6D01B5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CB313B" w:rsidRPr="00CB313B">
        <w:rPr>
          <w:rFonts w:ascii="PT Astra Serif" w:hAnsi="PT Astra Serif"/>
          <w:color w:val="000000"/>
          <w:sz w:val="28"/>
          <w:szCs w:val="28"/>
        </w:rPr>
        <w:t>4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CB313B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Таблица 4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59"/>
        <w:gridCol w:w="1743"/>
        <w:gridCol w:w="1286"/>
        <w:gridCol w:w="1451"/>
        <w:gridCol w:w="1843"/>
      </w:tblGrid>
      <w:tr w:rsidR="007909B1" w:rsidRPr="008516EF" w:rsidTr="00C67D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C67DA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C67DA6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450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738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Февраль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79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371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Март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1138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518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421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1836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Апрель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2A5A84" w:rsidRPr="006D71B5">
              <w:rPr>
                <w:rFonts w:ascii="PT Astra Serif" w:hAnsi="PT Astra Serif" w:cs="Arial"/>
                <w:sz w:val="24"/>
                <w:szCs w:val="24"/>
              </w:rPr>
              <w:t>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468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381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1814</w:t>
            </w:r>
          </w:p>
        </w:tc>
      </w:tr>
      <w:tr w:rsidR="007909B1" w:rsidRPr="008516EF" w:rsidTr="00C67DA6">
        <w:trPr>
          <w:trHeight w:val="2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Default="007909B1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Май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</w:t>
            </w:r>
            <w:r w:rsidR="00132FFB"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  <w:r w:rsidR="002A5A84"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949</w:t>
            </w:r>
          </w:p>
        </w:tc>
      </w:tr>
      <w:tr w:rsidR="00132FFB" w:rsidRPr="008516EF" w:rsidTr="00C67DA6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Default="00132FFB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Июнь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1036</w:t>
            </w:r>
          </w:p>
        </w:tc>
      </w:tr>
      <w:tr w:rsidR="00AE161D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Default="00AE161D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Июль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1008</w:t>
            </w:r>
          </w:p>
        </w:tc>
      </w:tr>
      <w:tr w:rsidR="000015EC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Default="000015EC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Август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612</w:t>
            </w:r>
          </w:p>
        </w:tc>
      </w:tr>
      <w:tr w:rsidR="00C67DA6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A6" w:rsidRDefault="00C67DA6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Сентябрь 2020</w:t>
            </w:r>
          </w:p>
          <w:p w:rsidR="00C67DA6" w:rsidRPr="006D71B5" w:rsidRDefault="00C67DA6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385</w:t>
            </w:r>
          </w:p>
        </w:tc>
      </w:tr>
      <w:tr w:rsidR="006D01B5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B5" w:rsidRDefault="006D01B5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Октябрь 2020</w:t>
            </w:r>
          </w:p>
          <w:p w:rsidR="006D01B5" w:rsidRDefault="006D01B5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B5" w:rsidRPr="00C67DA6" w:rsidRDefault="006D01B5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460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B5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6D01B5" w:rsidP="006D0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5527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6D01B5" w:rsidP="006D0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2797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6D01B5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2054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C67DA6" w:rsidP="006D0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</w:t>
            </w:r>
            <w:r w:rsidR="006D01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6D01B5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9209</w:t>
            </w:r>
          </w:p>
        </w:tc>
      </w:tr>
    </w:tbl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6D01B5" w:rsidRDefault="006D01B5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были проведены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523AA5" w:rsidP="003331B3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18E2">
        <w:rPr>
          <w:rFonts w:ascii="PT Astra Serif" w:hAnsi="PT Astra Serif"/>
          <w:b/>
          <w:sz w:val="28"/>
          <w:szCs w:val="28"/>
        </w:rPr>
        <w:t>1. Цифровизация в сфере закупок.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Внедрение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осуществлен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целях обучения государственных заказчиков самостоятельному осуществлению закупок с НМЦК до 50 тыс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яч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рублей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(с 01.07.2020 года – до 300 тысяч рублей)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работе в системе АЦК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Госзаказ посредством электронного документооборота проведены: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выездные обучающие семинары для отраслей образования и здравоохранения, а также подведомственной сети Министерства семейной, демографической политики и социального благополучия Ульяновской области;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обучающие занятия в рамках работы проекта «Школа заказчика».</w:t>
      </w:r>
    </w:p>
    <w:p w:rsidR="00B43A2E" w:rsidRPr="004C18E2" w:rsidRDefault="007617AD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b/>
          <w:color w:val="000000"/>
          <w:sz w:val="28"/>
          <w:szCs w:val="28"/>
        </w:rPr>
        <w:t xml:space="preserve">1.2. </w:t>
      </w:r>
      <w:r w:rsidR="00B43A2E" w:rsidRPr="004C18E2">
        <w:rPr>
          <w:rFonts w:ascii="PT Astra Serif" w:hAnsi="PT Astra Serif"/>
          <w:b/>
          <w:color w:val="000000"/>
          <w:sz w:val="28"/>
          <w:szCs w:val="28"/>
        </w:rPr>
        <w:t xml:space="preserve">Интеграция РИС </w:t>
      </w:r>
      <w:r w:rsidR="00B43A2E" w:rsidRPr="004C18E2">
        <w:rPr>
          <w:rFonts w:ascii="PT Astra Serif" w:hAnsi="PT Astra Serif"/>
          <w:b/>
          <w:sz w:val="28"/>
          <w:szCs w:val="28"/>
        </w:rPr>
        <w:t>АЦК-Госзаказ и единой медицинской информационной системы Ульяновской области</w:t>
      </w:r>
      <w:r w:rsidR="00B43A2E" w:rsidRPr="004C18E2">
        <w:rPr>
          <w:rFonts w:ascii="PT Astra Serif" w:hAnsi="PT Astra Serif"/>
          <w:sz w:val="28"/>
          <w:szCs w:val="28"/>
        </w:rPr>
        <w:t xml:space="preserve"> (далее – МИС)</w:t>
      </w:r>
    </w:p>
    <w:p w:rsidR="00B43A2E" w:rsidRPr="004C18E2" w:rsidRDefault="00B43A2E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18E2">
        <w:rPr>
          <w:rFonts w:ascii="PT Astra Serif" w:hAnsi="PT Astra Serif"/>
          <w:sz w:val="28"/>
          <w:szCs w:val="28"/>
        </w:rPr>
        <w:t>В целях комплексной информатизации процесса закупок для бесперебойного обеспечения медицинских учреждений региона лекарственными препаратами и медицинскими изделиями осуществляется работа по интеграции РИС АЦК-Госзаказ с МИС, обеспечивающей возможность контроля, мониторинга текущих операций и их статусов, а также прозрачность и управляемость закупочных процессов.</w:t>
      </w:r>
    </w:p>
    <w:p w:rsidR="00A57121" w:rsidRPr="00A57121" w:rsidRDefault="00A57121" w:rsidP="003501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</w:p>
    <w:p w:rsidR="00350184" w:rsidRDefault="00A5712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AF3B54"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Осуществление постоянного взаимодействия с федеральным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орган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ами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закупок</w:t>
      </w:r>
    </w:p>
    <w:p w:rsidR="00AF3B5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AF3B54" w:rsidRPr="00350184">
        <w:rPr>
          <w:rFonts w:ascii="PT Astra Serif" w:eastAsia="Times New Roman" w:hAnsi="PT Astra Serif"/>
          <w:sz w:val="28"/>
          <w:szCs w:val="28"/>
          <w:lang w:eastAsia="ru-RU"/>
        </w:rPr>
        <w:t>.1. Взаимодействие</w:t>
      </w:r>
      <w:r w:rsidR="00AF3B54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350184" w:rsidRPr="0035018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>- в целях формирования</w:t>
      </w:r>
      <w:r>
        <w:rPr>
          <w:rFonts w:ascii="PT Astra Serif" w:hAnsi="PT Astra Serif"/>
          <w:sz w:val="28"/>
          <w:szCs w:val="28"/>
        </w:rPr>
        <w:t xml:space="preserve"> предложений по нормативному регулированию закупок малого объема направлена заполненная анкета по осуществлению закупок малого объема от Ульяновской области (письмо от 23.01.2020 </w:t>
      </w:r>
      <w:r>
        <w:rPr>
          <w:rFonts w:ascii="PT Astra Serif" w:hAnsi="PT Astra Serif"/>
          <w:sz w:val="28"/>
          <w:szCs w:val="28"/>
        </w:rPr>
        <w:br/>
        <w:t>№ 73-ИОГВ-03-05/20 исх.)</w:t>
      </w:r>
      <w:r w:rsidR="00031E14">
        <w:rPr>
          <w:rFonts w:ascii="PT Astra Serif" w:hAnsi="PT Astra Serif"/>
          <w:sz w:val="28"/>
          <w:szCs w:val="28"/>
        </w:rPr>
        <w:t>;</w:t>
      </w:r>
    </w:p>
    <w:p w:rsidR="00350184" w:rsidRPr="0035018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-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31.01.2020 принято участие (в дистанционной форме) в видеоконференции по обсуждению нормативного регу</w:t>
      </w:r>
      <w:r w:rsidR="00031E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лирования закупок малого объема;</w:t>
      </w:r>
    </w:p>
    <w:p w:rsidR="00350184" w:rsidRDefault="00031E1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- 26.02.2020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 в видеоконференции по обсуждению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механизма расчета началь</w:t>
      </w:r>
      <w:r w:rsidR="0051192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ных максимальных цен контрактов;</w:t>
      </w:r>
    </w:p>
    <w:p w:rsidR="003331B3" w:rsidRDefault="00511920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- 03.03.2020 направлены д</w:t>
      </w:r>
      <w:r w:rsidRPr="0051192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анные по Ульяновской области для расчета Рейтинга эффективности и прозрачности закупочных систем регионов РФ за 2019 финансовый год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2F3A58">
        <w:rPr>
          <w:rFonts w:ascii="PT Astra Serif" w:hAnsi="PT Astra Serif"/>
          <w:sz w:val="28"/>
          <w:szCs w:val="28"/>
        </w:rPr>
        <w:t>(письмо от 03.03.2020 № 73-ИОГВ-03-05/150 исх.)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511920" w:rsidRDefault="00511920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- 19.03.2020 направлены</w:t>
      </w:r>
      <w:r w:rsidR="00E3063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Анкеты от Ульяновской области по вопросу механизма расчета начальных (максимальных) цен контракта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2F3A58">
        <w:rPr>
          <w:rFonts w:ascii="PT Astra Serif" w:hAnsi="PT Astra Serif"/>
          <w:sz w:val="28"/>
          <w:szCs w:val="28"/>
        </w:rPr>
        <w:t>(письмо от 19.03.2020 № 73-ИОГВ-03-05/262 исх.)</w:t>
      </w:r>
      <w:r w:rsidR="000A76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BE4A0A" w:rsidRDefault="00BE4A0A" w:rsidP="00BE4A0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- 28.04.2020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видеоконференции по обсуждению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свода предложений </w:t>
      </w:r>
      <w:r w:rsidRPr="00BE4A0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совершенствованию законодательства и подзаконных нормативных прав</w:t>
      </w:r>
      <w:r w:rsidR="000A76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овых актов в части расчета НМЦК;</w:t>
      </w:r>
    </w:p>
    <w:p w:rsidR="000A7693" w:rsidRPr="008B046F" w:rsidRDefault="000A7693" w:rsidP="000A769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15.05.2020 направлена Анкета от Ульяновской области по вопросу </w:t>
      </w:r>
      <w:r w:rsidRPr="008B046F">
        <w:rPr>
          <w:rFonts w:ascii="PT Astra Serif" w:hAnsi="PT Astra Serif"/>
          <w:sz w:val="28"/>
          <w:szCs w:val="28"/>
        </w:rPr>
        <w:t xml:space="preserve">совершенствования законодательства и нормативных правовых актов в части определения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начальных (максимальных) цен контракта (от 15.05.2020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№73-ИОГВ-21/10 исх.);</w:t>
      </w:r>
    </w:p>
    <w:p w:rsidR="000A7693" w:rsidRPr="008B046F" w:rsidRDefault="000A7693" w:rsidP="000A769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- 19.05.2020 года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Заседании Экспертного совета регионов по развитию контрактной системы по вопросам обсуждения механизма расчёта начальных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максимальных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цен контрактов, а также предложений регионов по совершенствованию законодательства и подзаконных нормативных правовых актов в части расчёта НМЦК;</w:t>
      </w:r>
    </w:p>
    <w:p w:rsidR="000A7693" w:rsidRPr="008B046F" w:rsidRDefault="000A7693" w:rsidP="000A769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.2020 года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</w:t>
      </w:r>
      <w:r w:rsidR="006D01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Заседании Экспертного совета регионов по развитию контрактной системы по вопрос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удальнейшего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обсуждения механизма расчёта начальных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максимальных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контрактов.</w:t>
      </w:r>
    </w:p>
    <w:p w:rsidR="006134AA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.07.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2020 года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церемони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подведения итогов Рейтинга эффективности и прозрачности закупочных систем регионов РФ за 2019 год (далее – Рейтинг).</w:t>
      </w:r>
    </w:p>
    <w:p w:rsidR="006134AA" w:rsidRPr="0065323C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Ульяновская область стала лидером Рейтинга по показателю «Оценка организационной структуры закупок региона», а также достигла высших и высоких результатов по показателям «Оценка информационной инфраструктуры закупок региона», «Нормативная база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государственных закупок».</w:t>
      </w:r>
    </w:p>
    <w:p w:rsidR="006134AA" w:rsidRPr="0065323C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Муниципальные образования Ульяновской области в Рейтинге муниципальных закупок также достигли высших и высоких результатов по показателям.</w:t>
      </w:r>
    </w:p>
    <w:p w:rsidR="00BE4A0A" w:rsidRDefault="00BE4A0A" w:rsidP="00BE4A0A">
      <w:pPr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3331B3" w:rsidRDefault="00031E14" w:rsidP="003331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031E14">
        <w:rPr>
          <w:rFonts w:ascii="PT Astra Serif" w:hAnsi="PT Astra Serif"/>
          <w:b/>
          <w:sz w:val="28"/>
          <w:szCs w:val="28"/>
          <w:shd w:val="clear" w:color="auto" w:fill="FFFFFF"/>
        </w:rPr>
        <w:lastRenderedPageBreak/>
        <w:t xml:space="preserve">Участие </w:t>
      </w:r>
      <w:r w:rsidR="003331B3">
        <w:rPr>
          <w:rFonts w:ascii="PT Astra Serif" w:hAnsi="PT Astra Serif"/>
          <w:b/>
          <w:sz w:val="28"/>
          <w:szCs w:val="28"/>
          <w:shd w:val="clear" w:color="auto" w:fill="FFFFFF"/>
        </w:rPr>
        <w:t>в региональных мероприятиях по вопросам осуществления закупок</w:t>
      </w:r>
    </w:p>
    <w:p w:rsidR="00031E14" w:rsidRPr="00031E14" w:rsidRDefault="003331B3" w:rsidP="00993AF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Участие </w:t>
      </w:r>
      <w:r w:rsidR="00031E14" w:rsidRPr="00031E14">
        <w:rPr>
          <w:rFonts w:ascii="PT Astra Serif" w:hAnsi="PT Astra Serif"/>
          <w:b/>
          <w:sz w:val="28"/>
          <w:szCs w:val="28"/>
          <w:shd w:val="clear" w:color="auto" w:fill="FFFFFF"/>
        </w:rPr>
        <w:t>в Неделях контрактных отношени</w:t>
      </w:r>
      <w:r w:rsidR="00694C5C">
        <w:rPr>
          <w:rFonts w:ascii="PT Astra Serif" w:hAnsi="PT Astra Serif"/>
          <w:b/>
          <w:sz w:val="28"/>
          <w:szCs w:val="28"/>
          <w:shd w:val="clear" w:color="auto" w:fill="FFFFFF"/>
        </w:rPr>
        <w:t>й и закупок Ульяновской области</w:t>
      </w:r>
    </w:p>
    <w:p w:rsidR="003331B3" w:rsidRDefault="00031E14" w:rsidP="00E7346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18-21.02.2020 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принято участие в организации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проведен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ии I Недели 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контрактных отношений и закупок Ульяновской области «Закупки в регионе: результаты, достижения, перспективные направления», в рамках которой про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шло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6 разноплановых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мероприятий. </w:t>
      </w:r>
    </w:p>
    <w:p w:rsidR="00031E14" w:rsidRPr="00154DD6" w:rsidRDefault="00031E14" w:rsidP="00E7346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Законодательного собрания Ульяновской области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контрольн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о-надзорных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органов, Ульяновской ТПП, </w:t>
      </w:r>
      <w:r w:rsid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исполнительны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х органов государственной власти и органов местного самоуправления </w:t>
      </w:r>
      <w:r w:rsid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Ульяновской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области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бизнес-сообщества, эксперты и общественные организации, а также Председатель правления Общероссийской общественной организации «Гильдия отечественных закупщиков и специалистов по закупкам и продажам», Лидия Никифорова (всего порядка 500 человек). По итогам проведенных мероприятий были намечены ключевые направления для развития системы закупок в регионе.</w:t>
      </w:r>
    </w:p>
    <w:p w:rsidR="000842DB" w:rsidRDefault="00993AF5" w:rsidP="00E7346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 по р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езультат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функционирования системы закупок Ульяновской области за 2019 год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результата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внедрения юридически значимого электронного документооборота </w:t>
      </w:r>
      <w:r w:rsidR="00CE7F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РИС «АЦК-Госзаказ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2E44B0" w:rsidRDefault="002E44B0" w:rsidP="002E44B0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- 25-28.08.2020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организ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ации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проведен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ии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I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I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контрактных отношений и закупок Ульяновской 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области «Трансформация контрактной системы. Куда движемся», в рамках которой было проведено 4 разноплановых мероприяти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2E44B0" w:rsidRPr="002E44B0" w:rsidRDefault="002E44B0" w:rsidP="002E44B0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контрольных, правоохранительных, налоговых органов, Ульяновской ТПП, ИОГВ, бизнес-сообщества,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также 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эксперты и общественные организации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(всего порядка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100 человек).</w:t>
      </w:r>
    </w:p>
    <w:p w:rsidR="00993AF5" w:rsidRDefault="00993AF5" w:rsidP="00E7346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993AF5" w:rsidRPr="00993AF5" w:rsidRDefault="00993AF5" w:rsidP="00993AF5">
      <w:pPr>
        <w:numPr>
          <w:ilvl w:val="1"/>
          <w:numId w:val="24"/>
        </w:numPr>
        <w:spacing w:after="0" w:line="240" w:lineRule="auto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Участие в прочих мероприятиях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законодательства о контрактной системе</w:t>
      </w:r>
    </w:p>
    <w:p w:rsidR="00E7346B" w:rsidRDefault="00993AF5" w:rsidP="00993A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46B">
        <w:rPr>
          <w:rFonts w:ascii="PT Astra Serif" w:eastAsia="Times New Roman" w:hAnsi="PT Astra Serif"/>
          <w:sz w:val="28"/>
          <w:szCs w:val="28"/>
          <w:lang w:eastAsia="ru-RU"/>
        </w:rPr>
        <w:t>- подготовлен</w:t>
      </w:r>
      <w:r w:rsidR="00E7346B" w:rsidRPr="00E7346B">
        <w:rPr>
          <w:rFonts w:ascii="PT Astra Serif" w:eastAsia="Times New Roman" w:hAnsi="PT Astra Serif"/>
          <w:sz w:val="28"/>
          <w:szCs w:val="28"/>
          <w:lang w:eastAsia="ru-RU"/>
        </w:rPr>
        <w:t>ы аналитические и презентационные материалы</w:t>
      </w:r>
      <w:r>
        <w:rPr>
          <w:rFonts w:ascii="PT Astra Serif" w:hAnsi="PT Astra Serif"/>
          <w:sz w:val="28"/>
          <w:szCs w:val="28"/>
        </w:rPr>
        <w:t>по итогам рейтингав сфере закупок муниципальных образований Ульяновской области за 2019 год</w:t>
      </w:r>
      <w:r w:rsidR="00E7346B">
        <w:rPr>
          <w:rFonts w:ascii="PT Astra Serif" w:hAnsi="PT Astra Serif"/>
          <w:sz w:val="28"/>
          <w:szCs w:val="28"/>
        </w:rPr>
        <w:t>, озвученного в рамкахсовещания на базе Ульяновской ТПП по теме: «Результаты I Недели контрактных отношений и закупок Ульяновской области. Задачи и перспектив</w:t>
      </w:r>
      <w:r w:rsidR="00F1231A">
        <w:rPr>
          <w:rFonts w:ascii="PT Astra Serif" w:hAnsi="PT Astra Serif"/>
          <w:sz w:val="28"/>
          <w:szCs w:val="28"/>
        </w:rPr>
        <w:t>ы»;</w:t>
      </w:r>
    </w:p>
    <w:p w:rsidR="00F1231A" w:rsidRDefault="00F1231A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346B">
        <w:rPr>
          <w:rFonts w:ascii="PT Astra Serif" w:eastAsia="Times New Roman" w:hAnsi="PT Astra Serif"/>
          <w:sz w:val="28"/>
          <w:szCs w:val="28"/>
          <w:lang w:eastAsia="ru-RU"/>
        </w:rPr>
        <w:t>подготовлены аналитические и презентационные материалы</w:t>
      </w:r>
      <w:r w:rsidR="006D01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по теме:</w:t>
      </w:r>
      <w:r w:rsidR="006D01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«Закупки в условиях пандемии. Особенности. Проблемы и решения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 в рамках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совещания по финансово-экономическим вопросам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(23.04.2020);</w:t>
      </w:r>
    </w:p>
    <w:p w:rsidR="00F1231A" w:rsidRPr="00F1231A" w:rsidRDefault="00F1231A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работниками ОГКУ «Центр по сопровождению закупок» пройдено обучение по программе дополнительного профессионального образования «Специалист в сфере закупок в условиях пандемии» (40 часов).</w:t>
      </w:r>
    </w:p>
    <w:p w:rsidR="000842DB" w:rsidRDefault="000842DB" w:rsidP="00802B9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0842DB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04553" w:rsidRDefault="00EE182D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663814" wp14:editId="0862A972">
            <wp:extent cx="9363075" cy="5810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A687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0">
              <w:txbxContent>
                <w:p w:rsidR="00343BE2" w:rsidRDefault="00343BE2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343BE2" w:rsidRPr="000842DB" w:rsidRDefault="00343BE2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аграмма1</w:t>
                  </w:r>
                </w:p>
              </w:txbxContent>
            </v:textbox>
          </v:shape>
        </w:pict>
      </w:r>
    </w:p>
    <w:p w:rsidR="003F3BFD" w:rsidRDefault="003F3BFD" w:rsidP="00111E7E">
      <w:pPr>
        <w:rPr>
          <w:noProof/>
          <w:lang w:eastAsia="ru-RU"/>
        </w:rPr>
      </w:pPr>
    </w:p>
    <w:p w:rsidR="00D04553" w:rsidRDefault="00EA6875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115" type="#_x0000_t202" style="position:absolute;margin-left:658.3pt;margin-top:-23.15pt;width:101pt;height:32.7pt;z-index:251666944" stroked="f">
            <v:textbox style="mso-next-textbox:#_x0000_s1115">
              <w:txbxContent>
                <w:p w:rsidR="00343BE2" w:rsidRPr="00937DDA" w:rsidRDefault="00343BE2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  <w:r w:rsidR="00EE182D">
        <w:rPr>
          <w:noProof/>
          <w:lang w:eastAsia="ru-RU"/>
        </w:rPr>
        <w:drawing>
          <wp:inline distT="0" distB="0" distL="0" distR="0" wp14:anchorId="68DD2275" wp14:editId="389CB88D">
            <wp:extent cx="9572625" cy="6362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pict>
          <v:rect id="_x0000_s1060" style="position:absolute;margin-left:7.35pt;margin-top:74.9pt;width:45.25pt;height:14.15pt;z-index:251650560;mso-position-horizontal-relative:text;mso-position-vertical-relative:text" stroked="f"/>
        </w:pict>
      </w:r>
    </w:p>
    <w:p w:rsidR="00111E7E" w:rsidRDefault="00EA6875" w:rsidP="00FC2EE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74" type="#_x0000_t202" style="position:absolute;margin-left:646.3pt;margin-top:-35.15pt;width:101pt;height:32.7pt;z-index:251656704" stroked="f">
            <v:textbox style="mso-next-textbox:#_x0000_s1074">
              <w:txbxContent>
                <w:p w:rsidR="00343BE2" w:rsidRPr="00937DDA" w:rsidRDefault="00343BE2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  <w:r w:rsidR="001B7927">
        <w:rPr>
          <w:noProof/>
          <w:lang w:eastAsia="ru-RU"/>
        </w:rPr>
        <w:drawing>
          <wp:inline distT="0" distB="0" distL="0" distR="0" wp14:anchorId="6089448A" wp14:editId="57CA397B">
            <wp:extent cx="9401175" cy="556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pict>
          <v:shape id="_x0000_s1090" type="#_x0000_t202" style="position:absolute;margin-left:-2.25pt;margin-top:475.6pt;width:756.85pt;height:39.75pt;z-index:251662848;mso-position-horizontal-relative:text;mso-position-vertical-relative:text" stroked="f">
            <v:textbox style="mso-next-textbox:#_x0000_s1090">
              <w:txbxContent>
                <w:p w:rsidR="00343BE2" w:rsidRPr="008B53EE" w:rsidRDefault="00343BE2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</w:txbxContent>
            </v:textbox>
          </v:shape>
        </w:pict>
      </w:r>
    </w:p>
    <w:p w:rsidR="008E1B30" w:rsidRDefault="008E1B30" w:rsidP="00FC2EE9">
      <w:pPr>
        <w:rPr>
          <w:noProof/>
          <w:lang w:eastAsia="ru-RU"/>
        </w:rPr>
      </w:pPr>
    </w:p>
    <w:p w:rsidR="008E1B30" w:rsidRDefault="008E1B30" w:rsidP="00FC2EE9">
      <w:pPr>
        <w:rPr>
          <w:noProof/>
          <w:lang w:eastAsia="ru-RU"/>
        </w:rPr>
      </w:pPr>
    </w:p>
    <w:p w:rsidR="00767282" w:rsidRDefault="00EA6875" w:rsidP="00767282">
      <w:r>
        <w:rPr>
          <w:noProof/>
          <w:lang w:eastAsia="ru-RU"/>
        </w:rPr>
        <w:lastRenderedPageBreak/>
        <w:pict>
          <v:shape id="_x0000_s1066" type="#_x0000_t202" style="position:absolute;margin-left:641.55pt;margin-top:-28.45pt;width:91.25pt;height:27.75pt;z-index:251651584;mso-position-horizontal-relative:text;mso-position-vertical-relative:text" stroked="f">
            <v:textbox style="mso-next-textbox:#_x0000_s1066">
              <w:txbxContent>
                <w:p w:rsidR="00343BE2" w:rsidRPr="00937DDA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4</w:t>
                  </w:r>
                </w:p>
              </w:txbxContent>
            </v:textbox>
          </v:shape>
        </w:pict>
      </w:r>
      <w:r w:rsidR="001B7927">
        <w:rPr>
          <w:noProof/>
          <w:lang w:eastAsia="ru-RU"/>
        </w:rPr>
        <w:drawing>
          <wp:inline distT="0" distB="0" distL="0" distR="0">
            <wp:extent cx="9361170" cy="4936996"/>
            <wp:effectExtent l="0" t="0" r="0" b="0"/>
            <wp:docPr id="11" name="Рисунок 11" descr="Z:\ОТДЕЛ МОНИТОРИНГА И ОТЧЕТНОСТИ\!ОТЧЁТ 2020\Отчет ОГКУ\октябрь\для отчета\процед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НИТОРИНГА И ОТЧЕТНОСТИ\!ОТЧЁТ 2020\Отчет ОГКУ\октябрь\для отчета\процедуры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9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282" w:rsidRDefault="00EA6875" w:rsidP="00FC2EE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117" type="#_x0000_t202" style="position:absolute;margin-left:9.75pt;margin-top:34.9pt;width:756.85pt;height:39.75pt;z-index:251667968;mso-position-horizontal-relative:text;mso-position-vertical-relative:text" stroked="f">
            <v:textbox style="mso-next-textbox:#_x0000_s1117">
              <w:txbxContent>
                <w:p w:rsidR="00343BE2" w:rsidRPr="008B53EE" w:rsidRDefault="00343BE2" w:rsidP="00CB7043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 xml:space="preserve">* </w:t>
                  </w:r>
                  <w:r>
                    <w:rPr>
                      <w:rFonts w:ascii="PT Astra Serif" w:hAnsi="PT Astra Serif"/>
                    </w:rPr>
                    <w:t>закупки, проведенные как через уполномоченный орган, так и самостоятельно заказчиками</w:t>
                  </w:r>
                </w:p>
                <w:p w:rsidR="00343BE2" w:rsidRPr="008B53EE" w:rsidRDefault="00343BE2" w:rsidP="00823BF0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p w:rsidR="000C3C6A" w:rsidRPr="000C3C6A" w:rsidRDefault="001B7927" w:rsidP="000C3C6A">
      <w:pPr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82050" cy="5915025"/>
            <wp:effectExtent l="0" t="0" r="0" b="0"/>
            <wp:docPr id="15" name="Рисунок 15" descr="Z:\ОТДЕЛ МОНИТОРИНГА И ОТЧЕТНОСТИ\!ОТЧЁТ 2020\Отчет ОГКУ\октябрь\для отчета\зд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МОНИТОРИНГА И ОТЧЕТНОСТИ\!ОТЧЁТ 2020\Отчет ОГКУ\октябрь\для отчета\здрав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75">
        <w:rPr>
          <w:noProof/>
          <w:lang w:eastAsia="ru-RU"/>
        </w:rPr>
        <w:pict>
          <v:shape id="_x0000_s1113" type="#_x0000_t202" style="position:absolute;left:0;text-align:left;margin-left:652.8pt;margin-top:-23.9pt;width:91.25pt;height:27.75pt;z-index:251665920;mso-position-horizontal-relative:text;mso-position-vertical-relative:text" stroked="f">
            <v:textbox style="mso-next-textbox:#_x0000_s1113">
              <w:txbxContent>
                <w:p w:rsidR="00343BE2" w:rsidRPr="00937DDA" w:rsidRDefault="00343BE2" w:rsidP="000C3C6A">
                  <w:pPr>
                    <w:rPr>
                      <w:rFonts w:ascii="PT Astra Serif" w:hAnsi="PT Astra Serif"/>
                      <w:sz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</w:rPr>
                    <w:t xml:space="preserve">Диаграмма </w:t>
                  </w:r>
                  <w:r>
                    <w:rPr>
                      <w:rFonts w:ascii="PT Astra Serif" w:hAnsi="PT Astra Serif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D04553" w:rsidRDefault="001B7927" w:rsidP="00111E7E">
      <w:pPr>
        <w:tabs>
          <w:tab w:val="left" w:pos="216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67775" cy="6419850"/>
            <wp:effectExtent l="0" t="0" r="0" b="0"/>
            <wp:docPr id="16" name="Рисунок 16" descr="Z:\ОТДЕЛ МОНИТОРИНГА И ОТЧЕТНОСТИ\!ОТЧЁТ 2020\Отчет ОГКУ\октябрь\для отчета\просве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МОНИТОРИНГА И ОТЧЕТНОСТИ\!ОТЧЁТ 2020\Отчет ОГКУ\октябрь\для отчета\просвещ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75">
        <w:rPr>
          <w:noProof/>
          <w:lang w:eastAsia="ru-RU"/>
        </w:rPr>
        <w:pict>
          <v:shape id="_x0000_s1068" type="#_x0000_t202" style="position:absolute;margin-left:625.8pt;margin-top:-26.15pt;width:95.35pt;height:28.05pt;z-index:251653632;mso-position-horizontal-relative:text;mso-position-vertical-relative:text" stroked="f">
            <v:textbox style="mso-next-textbox:#_x0000_s1068">
              <w:txbxContent>
                <w:p w:rsidR="00343BE2" w:rsidRPr="009C1908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6</w:t>
                  </w:r>
                </w:p>
              </w:txbxContent>
            </v:textbox>
          </v:shape>
        </w:pict>
      </w:r>
    </w:p>
    <w:p w:rsidR="000802B3" w:rsidRDefault="001B7927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24925" cy="6457950"/>
            <wp:effectExtent l="0" t="0" r="0" b="0"/>
            <wp:docPr id="17" name="Рисунок 17" descr="Z:\ОТДЕЛ МОНИТОРИНГА И ОТЧЕТНОСТИ\!ОТЧЁТ 2020\Отчет ОГКУ\октябрь\для отчета\при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МОНИТОРИНГА И ОТЧЕТНОСТИ\!ОТЧЁТ 2020\Отчет ОГКУ\октябрь\для отчета\природ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75">
        <w:rPr>
          <w:noProof/>
          <w:lang w:eastAsia="ru-RU"/>
        </w:rPr>
        <w:pict>
          <v:shape id="_x0000_s1069" type="#_x0000_t202" style="position:absolute;margin-left:614.85pt;margin-top:-26pt;width:94.45pt;height:25.25pt;z-index:251654656;mso-position-horizontal-relative:text;mso-position-vertical-relative:text" stroked="f">
            <v:textbox style="mso-next-textbox:#_x0000_s1069">
              <w:txbxContent>
                <w:p w:rsidR="00343BE2" w:rsidRPr="009C1908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>
                    <w:rPr>
                      <w:rFonts w:ascii="PT Astra Serif" w:hAnsi="PT Astra Serif"/>
                      <w:sz w:val="28"/>
                    </w:rPr>
                    <w:t>мма 7</w:t>
                  </w:r>
                </w:p>
              </w:txbxContent>
            </v:textbox>
          </v:shape>
        </w:pict>
      </w:r>
    </w:p>
    <w:p w:rsidR="00ED3AB7" w:rsidRDefault="001B7927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77300" cy="6429375"/>
            <wp:effectExtent l="0" t="0" r="0" b="0"/>
            <wp:docPr id="18" name="Рисунок 18" descr="Z:\ОТДЕЛ МОНИТОРИНГА И ОТЧЕТНОСТИ\!ОТЧЁТ 2020\Отчет ОГКУ\октябрь\для отчета\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МОНИТОРИНГА И ОТЧЕТНОСТИ\!ОТЧЁТ 2020\Отчет ОГКУ\октябрь\для отчета\стро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875">
        <w:rPr>
          <w:noProof/>
          <w:lang w:eastAsia="ru-RU"/>
        </w:rPr>
        <w:pict>
          <v:shape id="_x0000_s1070" type="#_x0000_t202" style="position:absolute;margin-left:599.35pt;margin-top:-25.85pt;width:102.85pt;height:25.3pt;z-index:251655680;mso-position-horizontal-relative:text;mso-position-vertical-relative:text" stroked="f">
            <v:textbox style="mso-next-textbox:#_x0000_s1070">
              <w:txbxContent>
                <w:p w:rsidR="00343BE2" w:rsidRPr="009C1908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8</w:t>
                  </w:r>
                </w:p>
              </w:txbxContent>
            </v:textbox>
          </v:shape>
        </w:pict>
      </w:r>
    </w:p>
    <w:p w:rsidR="00D63609" w:rsidRDefault="001B7927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3F0807" wp14:editId="5823D799">
            <wp:extent cx="9544050" cy="55911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A6875">
        <w:rPr>
          <w:rFonts w:ascii="PT Astra Serif" w:hAnsi="PT Astra Serif"/>
          <w:noProof/>
          <w:lang w:eastAsia="ru-RU"/>
        </w:rPr>
        <w:pict>
          <v:shape id="Надпись 2" o:spid="_x0000_s1055" type="#_x0000_t202" style="position:absolute;margin-left:628.8pt;margin-top:-23.1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343BE2" w:rsidRPr="000842DB" w:rsidRDefault="00343BE2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иаграмма9</w:t>
                  </w:r>
                </w:p>
              </w:txbxContent>
            </v:textbox>
          </v:shape>
        </w:pict>
      </w:r>
      <w:r w:rsidR="00EA6875">
        <w:rPr>
          <w:rFonts w:ascii="PT Astra Serif" w:hAnsi="PT Astra Serif"/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7" type="#_x0000_t122" style="position:absolute;margin-left:661.05pt;margin-top:105.85pt;width:19.6pt;height:13.5pt;z-index:251661824;mso-position-horizontal-relative:text;mso-position-vertical-relative:text" stroked="f"/>
        </w:pict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EA6875" w:rsidP="00727248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81" type="#_x0000_t202" style="position:absolute;margin-left:599.55pt;margin-top:-30.65pt;width:137.25pt;height:22.5pt;z-index:251659776;visibility:visible;mso-wrap-distance-top:3.6pt;mso-wrap-distance-bottom:3.6pt;mso-width-relative:margin;mso-height-relative:margin" filled="f" stroked="f">
            <v:textbox style="mso-next-textbox:#_x0000_s1081">
              <w:txbxContent>
                <w:p w:rsidR="00343BE2" w:rsidRPr="00C55D97" w:rsidRDefault="00343BE2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 w:rsidR="00C55D97"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10</w:t>
                  </w:r>
                </w:p>
              </w:txbxContent>
            </v:textbox>
          </v:shape>
        </w:pict>
      </w:r>
      <w:bookmarkStart w:id="0" w:name="_GoBack"/>
      <w:r w:rsidR="000F3F81">
        <w:rPr>
          <w:noProof/>
          <w:lang w:eastAsia="ru-RU"/>
        </w:rPr>
        <w:drawing>
          <wp:inline distT="0" distB="0" distL="0" distR="0" wp14:anchorId="6D67723A" wp14:editId="4F2443A1">
            <wp:extent cx="9572625" cy="61055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727248" w:rsidRPr="00727248" w:rsidRDefault="00EA6875" w:rsidP="00727248">
      <w:pPr>
        <w:rPr>
          <w:lang w:eastAsia="ru-RU"/>
        </w:rPr>
        <w:sectPr w:rsidR="00727248" w:rsidRPr="00727248" w:rsidSect="00B92CDD">
          <w:pgSz w:w="16838" w:h="11906" w:orient="landscape"/>
          <w:pgMar w:top="1138" w:right="962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343BE2" w:rsidRPr="008B53EE" w:rsidRDefault="00343BE2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E2" w:rsidRDefault="00343BE2" w:rsidP="008952FF">
      <w:pPr>
        <w:spacing w:after="0" w:line="240" w:lineRule="auto"/>
      </w:pPr>
      <w:r>
        <w:separator/>
      </w:r>
    </w:p>
  </w:endnote>
  <w:endnote w:type="continuationSeparator" w:id="0">
    <w:p w:rsidR="00343BE2" w:rsidRDefault="00343BE2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E2" w:rsidRDefault="00343BE2" w:rsidP="008952FF">
      <w:pPr>
        <w:spacing w:after="0" w:line="240" w:lineRule="auto"/>
      </w:pPr>
      <w:r>
        <w:separator/>
      </w:r>
    </w:p>
  </w:footnote>
  <w:footnote w:type="continuationSeparator" w:id="0">
    <w:p w:rsidR="00343BE2" w:rsidRDefault="00343BE2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E2" w:rsidRPr="00F64629" w:rsidRDefault="00343BE2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EA6875">
      <w:rPr>
        <w:rFonts w:ascii="Times New Roman" w:hAnsi="Times New Roman"/>
        <w:noProof/>
        <w:sz w:val="28"/>
        <w:szCs w:val="28"/>
      </w:rPr>
      <w:t>2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0"/>
  </w:num>
  <w:num w:numId="14">
    <w:abstractNumId w:val="23"/>
  </w:num>
  <w:num w:numId="15">
    <w:abstractNumId w:val="6"/>
  </w:num>
  <w:num w:numId="16">
    <w:abstractNumId w:val="20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3CCE"/>
    <w:rsid w:val="00014AA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19FE"/>
    <w:rsid w:val="000B31F5"/>
    <w:rsid w:val="000B4EE7"/>
    <w:rsid w:val="000B72B6"/>
    <w:rsid w:val="000B76FC"/>
    <w:rsid w:val="000C3B63"/>
    <w:rsid w:val="000C3C6A"/>
    <w:rsid w:val="000D2292"/>
    <w:rsid w:val="000D277A"/>
    <w:rsid w:val="000D40CD"/>
    <w:rsid w:val="000D7F3F"/>
    <w:rsid w:val="000E08FE"/>
    <w:rsid w:val="000E6746"/>
    <w:rsid w:val="000F0AD6"/>
    <w:rsid w:val="000F1080"/>
    <w:rsid w:val="000F2E9D"/>
    <w:rsid w:val="000F3F81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374D"/>
    <w:rsid w:val="00161EB1"/>
    <w:rsid w:val="001630B0"/>
    <w:rsid w:val="00164CF2"/>
    <w:rsid w:val="0017734B"/>
    <w:rsid w:val="00186ED8"/>
    <w:rsid w:val="001A0161"/>
    <w:rsid w:val="001A687C"/>
    <w:rsid w:val="001B7927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62501"/>
    <w:rsid w:val="00264C27"/>
    <w:rsid w:val="00266187"/>
    <w:rsid w:val="002721C8"/>
    <w:rsid w:val="002723FA"/>
    <w:rsid w:val="002834DD"/>
    <w:rsid w:val="0028362A"/>
    <w:rsid w:val="002A1E86"/>
    <w:rsid w:val="002A2D36"/>
    <w:rsid w:val="002A5A84"/>
    <w:rsid w:val="002B5673"/>
    <w:rsid w:val="002C0DB5"/>
    <w:rsid w:val="002C4E3F"/>
    <w:rsid w:val="002D0AE4"/>
    <w:rsid w:val="002D4E74"/>
    <w:rsid w:val="002D727A"/>
    <w:rsid w:val="002D7BBA"/>
    <w:rsid w:val="002E24A8"/>
    <w:rsid w:val="002E44B0"/>
    <w:rsid w:val="002F19A8"/>
    <w:rsid w:val="002F3A58"/>
    <w:rsid w:val="002F65CD"/>
    <w:rsid w:val="002F7642"/>
    <w:rsid w:val="00300929"/>
    <w:rsid w:val="00313804"/>
    <w:rsid w:val="00313E37"/>
    <w:rsid w:val="00315E00"/>
    <w:rsid w:val="003221D2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6191"/>
    <w:rsid w:val="00350184"/>
    <w:rsid w:val="0035045A"/>
    <w:rsid w:val="00352149"/>
    <w:rsid w:val="003542F2"/>
    <w:rsid w:val="00360169"/>
    <w:rsid w:val="00366DFF"/>
    <w:rsid w:val="0036782A"/>
    <w:rsid w:val="003708AE"/>
    <w:rsid w:val="00371DB0"/>
    <w:rsid w:val="003722B8"/>
    <w:rsid w:val="0038157C"/>
    <w:rsid w:val="003860B4"/>
    <w:rsid w:val="003971B5"/>
    <w:rsid w:val="003A7BB7"/>
    <w:rsid w:val="003B2E21"/>
    <w:rsid w:val="003B41D2"/>
    <w:rsid w:val="003B6D48"/>
    <w:rsid w:val="003C27BB"/>
    <w:rsid w:val="003D1747"/>
    <w:rsid w:val="003E0B6D"/>
    <w:rsid w:val="003E44A5"/>
    <w:rsid w:val="003E468B"/>
    <w:rsid w:val="003E5D0D"/>
    <w:rsid w:val="003E79DE"/>
    <w:rsid w:val="003F2A7F"/>
    <w:rsid w:val="003F30CD"/>
    <w:rsid w:val="003F3BFD"/>
    <w:rsid w:val="004007EA"/>
    <w:rsid w:val="0040106C"/>
    <w:rsid w:val="00404FE6"/>
    <w:rsid w:val="004105F7"/>
    <w:rsid w:val="004159E6"/>
    <w:rsid w:val="00421278"/>
    <w:rsid w:val="00422CFA"/>
    <w:rsid w:val="00423200"/>
    <w:rsid w:val="00424062"/>
    <w:rsid w:val="00431B01"/>
    <w:rsid w:val="00433037"/>
    <w:rsid w:val="00433442"/>
    <w:rsid w:val="0043570B"/>
    <w:rsid w:val="00441851"/>
    <w:rsid w:val="00441C62"/>
    <w:rsid w:val="00442A69"/>
    <w:rsid w:val="00443EBA"/>
    <w:rsid w:val="00452BC1"/>
    <w:rsid w:val="0046198A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E1390"/>
    <w:rsid w:val="004E1A30"/>
    <w:rsid w:val="004E7E55"/>
    <w:rsid w:val="004F292F"/>
    <w:rsid w:val="004F3A0B"/>
    <w:rsid w:val="004F5F56"/>
    <w:rsid w:val="004F6A21"/>
    <w:rsid w:val="005001FE"/>
    <w:rsid w:val="0050112C"/>
    <w:rsid w:val="005111BC"/>
    <w:rsid w:val="00511920"/>
    <w:rsid w:val="00511A08"/>
    <w:rsid w:val="00521F29"/>
    <w:rsid w:val="00523AA5"/>
    <w:rsid w:val="00542DEA"/>
    <w:rsid w:val="005445C3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D99"/>
    <w:rsid w:val="005A07CE"/>
    <w:rsid w:val="005A5B68"/>
    <w:rsid w:val="005A661C"/>
    <w:rsid w:val="005A6882"/>
    <w:rsid w:val="005D5EFF"/>
    <w:rsid w:val="005D6C8B"/>
    <w:rsid w:val="005E032E"/>
    <w:rsid w:val="005E7EDF"/>
    <w:rsid w:val="005F2D59"/>
    <w:rsid w:val="0060120C"/>
    <w:rsid w:val="00604586"/>
    <w:rsid w:val="00610F4A"/>
    <w:rsid w:val="006133C8"/>
    <w:rsid w:val="006134AA"/>
    <w:rsid w:val="006217FD"/>
    <w:rsid w:val="0062232F"/>
    <w:rsid w:val="006226C1"/>
    <w:rsid w:val="0063105D"/>
    <w:rsid w:val="0063764D"/>
    <w:rsid w:val="00637B45"/>
    <w:rsid w:val="0064225D"/>
    <w:rsid w:val="00653F5E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BEC"/>
    <w:rsid w:val="006B3C18"/>
    <w:rsid w:val="006D01B5"/>
    <w:rsid w:val="006D71B5"/>
    <w:rsid w:val="006D7B5F"/>
    <w:rsid w:val="006E084E"/>
    <w:rsid w:val="006E7462"/>
    <w:rsid w:val="006E7CEA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7A9B"/>
    <w:rsid w:val="00757E6D"/>
    <w:rsid w:val="007617AD"/>
    <w:rsid w:val="00763460"/>
    <w:rsid w:val="00766A1D"/>
    <w:rsid w:val="00767282"/>
    <w:rsid w:val="007716E6"/>
    <w:rsid w:val="007734E6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C1C1C"/>
    <w:rsid w:val="007D2001"/>
    <w:rsid w:val="007D7599"/>
    <w:rsid w:val="007E430A"/>
    <w:rsid w:val="007F2B11"/>
    <w:rsid w:val="007F3C63"/>
    <w:rsid w:val="007F4548"/>
    <w:rsid w:val="00802B91"/>
    <w:rsid w:val="00805AE8"/>
    <w:rsid w:val="00806706"/>
    <w:rsid w:val="0081000B"/>
    <w:rsid w:val="00814EF5"/>
    <w:rsid w:val="00817EB0"/>
    <w:rsid w:val="00823BF0"/>
    <w:rsid w:val="008264FE"/>
    <w:rsid w:val="008275DD"/>
    <w:rsid w:val="00831ADA"/>
    <w:rsid w:val="008516EF"/>
    <w:rsid w:val="00853844"/>
    <w:rsid w:val="00864418"/>
    <w:rsid w:val="0086657D"/>
    <w:rsid w:val="0086763C"/>
    <w:rsid w:val="00881582"/>
    <w:rsid w:val="0088463E"/>
    <w:rsid w:val="008851F4"/>
    <w:rsid w:val="0088708A"/>
    <w:rsid w:val="00891001"/>
    <w:rsid w:val="00891846"/>
    <w:rsid w:val="00891A70"/>
    <w:rsid w:val="00894B67"/>
    <w:rsid w:val="008952FF"/>
    <w:rsid w:val="008A79A1"/>
    <w:rsid w:val="008B1BF8"/>
    <w:rsid w:val="008B53EE"/>
    <w:rsid w:val="008B6646"/>
    <w:rsid w:val="008D0A97"/>
    <w:rsid w:val="008D6674"/>
    <w:rsid w:val="008E1B30"/>
    <w:rsid w:val="008E773D"/>
    <w:rsid w:val="008F11B7"/>
    <w:rsid w:val="008F7283"/>
    <w:rsid w:val="009024DE"/>
    <w:rsid w:val="00910E5F"/>
    <w:rsid w:val="0092067E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2AE2"/>
    <w:rsid w:val="009D49FD"/>
    <w:rsid w:val="009F174A"/>
    <w:rsid w:val="009F47ED"/>
    <w:rsid w:val="00A06845"/>
    <w:rsid w:val="00A13D50"/>
    <w:rsid w:val="00A43FE7"/>
    <w:rsid w:val="00A4413E"/>
    <w:rsid w:val="00A4496B"/>
    <w:rsid w:val="00A57121"/>
    <w:rsid w:val="00A67ED7"/>
    <w:rsid w:val="00A70A61"/>
    <w:rsid w:val="00A75AB0"/>
    <w:rsid w:val="00A80F0A"/>
    <w:rsid w:val="00A85BDF"/>
    <w:rsid w:val="00A866E6"/>
    <w:rsid w:val="00A92FC3"/>
    <w:rsid w:val="00A95E27"/>
    <w:rsid w:val="00AA16E2"/>
    <w:rsid w:val="00AB25AF"/>
    <w:rsid w:val="00AB29CF"/>
    <w:rsid w:val="00AB6901"/>
    <w:rsid w:val="00AB74DE"/>
    <w:rsid w:val="00AC5B6A"/>
    <w:rsid w:val="00AC79C5"/>
    <w:rsid w:val="00AD17B7"/>
    <w:rsid w:val="00AD3339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2501"/>
    <w:rsid w:val="00B43A2E"/>
    <w:rsid w:val="00B47A14"/>
    <w:rsid w:val="00B60BA9"/>
    <w:rsid w:val="00B647F9"/>
    <w:rsid w:val="00B81C50"/>
    <w:rsid w:val="00B8482B"/>
    <w:rsid w:val="00B84918"/>
    <w:rsid w:val="00B872FA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C6937"/>
    <w:rsid w:val="00BD6A4D"/>
    <w:rsid w:val="00BD7F5C"/>
    <w:rsid w:val="00BE025F"/>
    <w:rsid w:val="00BE4689"/>
    <w:rsid w:val="00BE4A0A"/>
    <w:rsid w:val="00BE6763"/>
    <w:rsid w:val="00BE6E17"/>
    <w:rsid w:val="00BE7244"/>
    <w:rsid w:val="00BE73C8"/>
    <w:rsid w:val="00BE7C65"/>
    <w:rsid w:val="00BF1C6D"/>
    <w:rsid w:val="00C03F7F"/>
    <w:rsid w:val="00C0423F"/>
    <w:rsid w:val="00C04CD4"/>
    <w:rsid w:val="00C050C3"/>
    <w:rsid w:val="00C05E22"/>
    <w:rsid w:val="00C15405"/>
    <w:rsid w:val="00C20822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DA6"/>
    <w:rsid w:val="00C7464C"/>
    <w:rsid w:val="00C75281"/>
    <w:rsid w:val="00C76742"/>
    <w:rsid w:val="00C77FE5"/>
    <w:rsid w:val="00C860B2"/>
    <w:rsid w:val="00C90A86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E110B"/>
    <w:rsid w:val="00CE5C33"/>
    <w:rsid w:val="00CE78AB"/>
    <w:rsid w:val="00CE7F6F"/>
    <w:rsid w:val="00CF67CA"/>
    <w:rsid w:val="00D02B38"/>
    <w:rsid w:val="00D0333E"/>
    <w:rsid w:val="00D04553"/>
    <w:rsid w:val="00D06D30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4FDB"/>
    <w:rsid w:val="00D56140"/>
    <w:rsid w:val="00D6359F"/>
    <w:rsid w:val="00D63609"/>
    <w:rsid w:val="00D64206"/>
    <w:rsid w:val="00D64C2C"/>
    <w:rsid w:val="00D65408"/>
    <w:rsid w:val="00D67207"/>
    <w:rsid w:val="00D71935"/>
    <w:rsid w:val="00D75E00"/>
    <w:rsid w:val="00D80BD7"/>
    <w:rsid w:val="00D81F87"/>
    <w:rsid w:val="00D92012"/>
    <w:rsid w:val="00D92D81"/>
    <w:rsid w:val="00D94869"/>
    <w:rsid w:val="00DA3264"/>
    <w:rsid w:val="00DB0D26"/>
    <w:rsid w:val="00DB2713"/>
    <w:rsid w:val="00DD1CD4"/>
    <w:rsid w:val="00DD2590"/>
    <w:rsid w:val="00DD3497"/>
    <w:rsid w:val="00DD52EC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7346B"/>
    <w:rsid w:val="00E73CB7"/>
    <w:rsid w:val="00E8483D"/>
    <w:rsid w:val="00E84D97"/>
    <w:rsid w:val="00E84DFA"/>
    <w:rsid w:val="00E91328"/>
    <w:rsid w:val="00E9395F"/>
    <w:rsid w:val="00E97DEA"/>
    <w:rsid w:val="00EA0A08"/>
    <w:rsid w:val="00EA28DB"/>
    <w:rsid w:val="00EA6692"/>
    <w:rsid w:val="00EA6875"/>
    <w:rsid w:val="00EB193F"/>
    <w:rsid w:val="00EB6339"/>
    <w:rsid w:val="00EC1285"/>
    <w:rsid w:val="00EC6B81"/>
    <w:rsid w:val="00ED2244"/>
    <w:rsid w:val="00ED3AB7"/>
    <w:rsid w:val="00EE009E"/>
    <w:rsid w:val="00EE182D"/>
    <w:rsid w:val="00EE74B3"/>
    <w:rsid w:val="00EF1361"/>
    <w:rsid w:val="00EF5D03"/>
    <w:rsid w:val="00F02F2C"/>
    <w:rsid w:val="00F054A2"/>
    <w:rsid w:val="00F1231A"/>
    <w:rsid w:val="00F13EE9"/>
    <w:rsid w:val="00F27E21"/>
    <w:rsid w:val="00F30080"/>
    <w:rsid w:val="00F3058D"/>
    <w:rsid w:val="00F339CD"/>
    <w:rsid w:val="00F3774C"/>
    <w:rsid w:val="00F43C10"/>
    <w:rsid w:val="00F469F6"/>
    <w:rsid w:val="00F46C6E"/>
    <w:rsid w:val="00F4732B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13A5"/>
    <w:rsid w:val="00F958E9"/>
    <w:rsid w:val="00FA6366"/>
    <w:rsid w:val="00FB138C"/>
    <w:rsid w:val="00FB3DD7"/>
    <w:rsid w:val="00FB6CE1"/>
    <w:rsid w:val="00FC15E7"/>
    <w:rsid w:val="00FC2EE9"/>
    <w:rsid w:val="00FD0700"/>
    <w:rsid w:val="00FD20C3"/>
    <w:rsid w:val="00FD34B4"/>
    <w:rsid w:val="00FE0D13"/>
    <w:rsid w:val="00FE41AF"/>
    <w:rsid w:val="00FF0C2A"/>
    <w:rsid w:val="00FF1AB9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5:docId w15:val="{11D9D14F-F4F3-43FD-9B9A-F15375E3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54;&#1082;&#1090;&#1103;&#1073;&#1088;&#1100;\&#1086;&#1090;&#1095;&#1077;&#1090;%20&#1088;&#1072;&#1073;&#1086;&#1095;&#1080;&#1081;%20&#1086;&#1082;&#1090;&#1103;&#1073;&#1088;&#1100;%20&#1089;%20&#1075;&#1088;&#1072;&#1092;&#1080;&#1082;&#1072;&#1084;&#1080;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54;&#1082;&#1090;&#1103;&#1073;&#1088;&#1100;\&#1086;&#1090;&#1095;&#1077;&#1090;%20&#1088;&#1072;&#1073;&#1086;&#1095;&#1080;&#1081;%20&#1086;&#1082;&#1090;&#1103;&#1073;&#1088;&#1100;%20&#1089;%20&#1075;&#1088;&#1072;&#1092;&#1080;&#1082;&#1072;&#1084;&#1080;.xlsx" TargetMode="External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54;&#1043;&#1050;&#1059;\&#1086;&#1082;&#1090;&#1103;&#1073;&#1088;&#1100;\&#1076;&#1083;&#1103;%20&#1086;&#1090;&#1095;&#1077;&#1090;&#1072;\+&#1057;&#1052;&#1055;%20&#1086;&#1082;&#1090;&#1103;&#1073;&#1088;&#110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54;&#1082;&#1090;&#1103;&#1073;&#1088;&#1100;\&#1054;&#1058;&#1063;&#1025;&#1058;%20&#1052;&#1059;&#1053;&#1048;&#1062;&#1048;&#1055;&#1040;&#1051;&#1067;%20&#1086;&#1082;&#1090;&#1103;&#1073;&#1088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54;&#1043;&#1050;&#1059;\&#1086;&#1082;&#1090;&#1103;&#1073;&#1088;&#1100;\&#1076;&#1083;&#1103;%20&#1086;&#1090;&#1095;&#1077;&#1090;&#1072;\+&#1057;&#1052;&#1055;%20&#1086;&#1082;&#1090;&#1103;&#1073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конкурентных закупок </a:t>
            </a:r>
            <a:endParaRPr lang="en-US" sz="1800" b="1" i="0" baseline="0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(через Уполномоченный орган) </a:t>
            </a:r>
            <a:endParaRPr lang="ru-RU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и среднему количеству участников</a:t>
            </a:r>
            <a:endParaRPr lang="ru-RU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Графики!$D$37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Минздрав</c:v>
                </c:pt>
                <c:pt idx="1">
                  <c:v>Минпром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Правительство</c:v>
                </c:pt>
                <c:pt idx="5">
                  <c:v>Минсоц</c:v>
                </c:pt>
                <c:pt idx="6">
                  <c:v>Прочие</c:v>
                </c:pt>
                <c:pt idx="7">
                  <c:v>Минфин</c:v>
                </c:pt>
                <c:pt idx="8">
                  <c:v>Микульт</c:v>
                </c:pt>
                <c:pt idx="9">
                  <c:v>МинЖКХ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Графики!$D$38:$D$50</c:f>
              <c:numCache>
                <c:formatCode>0</c:formatCode>
                <c:ptCount val="13"/>
                <c:pt idx="0">
                  <c:v>6485.8204025799996</c:v>
                </c:pt>
                <c:pt idx="1">
                  <c:v>4724.36472177</c:v>
                </c:pt>
                <c:pt idx="2">
                  <c:v>1464.2178765400001</c:v>
                </c:pt>
                <c:pt idx="3">
                  <c:v>582.93360274999986</c:v>
                </c:pt>
                <c:pt idx="4">
                  <c:v>249.47482236000002</c:v>
                </c:pt>
                <c:pt idx="5">
                  <c:v>174.86950349000006</c:v>
                </c:pt>
                <c:pt idx="6">
                  <c:v>106.98145547000001</c:v>
                </c:pt>
                <c:pt idx="7">
                  <c:v>77.056745429999992</c:v>
                </c:pt>
                <c:pt idx="8">
                  <c:v>75.214479419999989</c:v>
                </c:pt>
                <c:pt idx="9">
                  <c:v>68.548307680000008</c:v>
                </c:pt>
                <c:pt idx="10">
                  <c:v>58.974026380000012</c:v>
                </c:pt>
                <c:pt idx="11">
                  <c:v>39.309579899999996</c:v>
                </c:pt>
                <c:pt idx="12">
                  <c:v>8.5859494200000004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92834864"/>
        <c:axId val="192835424"/>
      </c:barChart>
      <c:lineChart>
        <c:grouping val="standard"/>
        <c:varyColors val="0"/>
        <c:ser>
          <c:idx val="1"/>
          <c:order val="1"/>
          <c:tx>
            <c:strRef>
              <c:f>Графики!$E$37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12783994574432E-2"/>
                  <c:y val="-4.371584699453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469001903754884E-2"/>
                  <c:y val="4.0906157222150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345879959308241E-2"/>
                  <c:y val="4.153005464480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56391997287216E-2"/>
                  <c:y val="4.590163934426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415055951169939E-2"/>
                  <c:y val="-4.153005464480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553407934893135E-2"/>
                  <c:y val="4.153005464480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0851135978297729E-2"/>
                  <c:y val="-5.027322404371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8484231943031537E-2"/>
                  <c:y val="4.1530054644808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712783994574432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553407934893183E-2"/>
                  <c:y val="4.8087431693989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4760935910478028E-2"/>
                  <c:y val="-5.9016393442622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2553407934893183E-2"/>
                  <c:y val="-4.590163934426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712783994574432E-2"/>
                  <c:y val="4.153005464480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Минздрав</c:v>
                </c:pt>
                <c:pt idx="1">
                  <c:v>Минпром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Правительство</c:v>
                </c:pt>
                <c:pt idx="5">
                  <c:v>Минсоц</c:v>
                </c:pt>
                <c:pt idx="6">
                  <c:v>Прочие</c:v>
                </c:pt>
                <c:pt idx="7">
                  <c:v>Минфин</c:v>
                </c:pt>
                <c:pt idx="8">
                  <c:v>Микульт</c:v>
                </c:pt>
                <c:pt idx="9">
                  <c:v>МинЖКХ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Графики!$E$38:$E$50</c:f>
              <c:numCache>
                <c:formatCode>0.00</c:formatCode>
                <c:ptCount val="13"/>
                <c:pt idx="0">
                  <c:v>2.656395702412325</c:v>
                </c:pt>
                <c:pt idx="1">
                  <c:v>2.6016260162601625</c:v>
                </c:pt>
                <c:pt idx="2">
                  <c:v>3.0392156862745097</c:v>
                </c:pt>
                <c:pt idx="3">
                  <c:v>4.4452830188679249</c:v>
                </c:pt>
                <c:pt idx="4">
                  <c:v>4.6802168021680215</c:v>
                </c:pt>
                <c:pt idx="5">
                  <c:v>4.3311036789297654</c:v>
                </c:pt>
                <c:pt idx="6">
                  <c:v>3.5340501792114694</c:v>
                </c:pt>
                <c:pt idx="7">
                  <c:v>1.8918918918918919</c:v>
                </c:pt>
                <c:pt idx="8">
                  <c:v>3.1</c:v>
                </c:pt>
                <c:pt idx="9">
                  <c:v>3.3157894736842106</c:v>
                </c:pt>
                <c:pt idx="10">
                  <c:v>3.7818181818181817</c:v>
                </c:pt>
                <c:pt idx="11">
                  <c:v>4.8571428571428568</c:v>
                </c:pt>
                <c:pt idx="12">
                  <c:v>2.9090909090909092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3936"/>
        <c:axId val="194464496"/>
      </c:lineChart>
      <c:catAx>
        <c:axId val="19283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2835424"/>
        <c:crosses val="autoZero"/>
        <c:auto val="1"/>
        <c:lblAlgn val="ctr"/>
        <c:lblOffset val="100"/>
        <c:noMultiLvlLbl val="0"/>
      </c:catAx>
      <c:valAx>
        <c:axId val="19283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2834864"/>
        <c:crosses val="autoZero"/>
        <c:crossBetween val="between"/>
      </c:valAx>
      <c:catAx>
        <c:axId val="194463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4464496"/>
        <c:crosses val="autoZero"/>
        <c:auto val="1"/>
        <c:lblAlgn val="ctr"/>
        <c:lblOffset val="100"/>
        <c:noMultiLvlLbl val="0"/>
      </c:catAx>
      <c:valAx>
        <c:axId val="19446449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446393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 и среднему количеству участников</a:t>
            </a:r>
            <a:endParaRPr lang="ru-RU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Графики!$D$63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0"/>
                  <c:y val="-2.9940119760478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Правительство</c:v>
                </c:pt>
                <c:pt idx="4">
                  <c:v>Минсоц</c:v>
                </c:pt>
                <c:pt idx="5">
                  <c:v>Прочие</c:v>
                </c:pt>
                <c:pt idx="6">
                  <c:v>Микульт</c:v>
                </c:pt>
                <c:pt idx="7">
                  <c:v>Минсельх</c:v>
                </c:pt>
                <c:pt idx="8">
                  <c:v>Минфин</c:v>
                </c:pt>
                <c:pt idx="9">
                  <c:v>Минпром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МинЖКХ</c:v>
                </c:pt>
              </c:strCache>
            </c:strRef>
          </c:cat>
          <c:val>
            <c:numRef>
              <c:f>Графики!$D$64:$D$76</c:f>
              <c:numCache>
                <c:formatCode>#,##0</c:formatCode>
                <c:ptCount val="13"/>
                <c:pt idx="0">
                  <c:v>165.35596525999998</c:v>
                </c:pt>
                <c:pt idx="1">
                  <c:v>42.096211500000003</c:v>
                </c:pt>
                <c:pt idx="2">
                  <c:v>22.493531699999998</c:v>
                </c:pt>
                <c:pt idx="3">
                  <c:v>3.5904904599999998</c:v>
                </c:pt>
                <c:pt idx="4">
                  <c:v>3.1893517299999998</c:v>
                </c:pt>
                <c:pt idx="5">
                  <c:v>2.4788532999999999</c:v>
                </c:pt>
                <c:pt idx="6">
                  <c:v>0.26683024999999999</c:v>
                </c:pt>
                <c:pt idx="7">
                  <c:v>0.17255766</c:v>
                </c:pt>
                <c:pt idx="8">
                  <c:v>0.1531902</c:v>
                </c:pt>
                <c:pt idx="9">
                  <c:v>7.8E-2</c:v>
                </c:pt>
                <c:pt idx="10">
                  <c:v>2.9536E-2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94467296"/>
        <c:axId val="194467856"/>
      </c:barChart>
      <c:lineChart>
        <c:grouping val="standard"/>
        <c:varyColors val="0"/>
        <c:ser>
          <c:idx val="1"/>
          <c:order val="1"/>
          <c:tx>
            <c:strRef>
              <c:f>Графики!$E$63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840796019900496E-2"/>
                  <c:y val="3.5928143712574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860696517412936E-2"/>
                  <c:y val="4.590818363273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7247097844112769E-2"/>
                  <c:y val="4.191616766467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860696517412936E-2"/>
                  <c:y val="-4.191616766467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187396351575457E-2"/>
                  <c:y val="3.5928143712574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840796019900447E-2"/>
                  <c:y val="-2.9940119760479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2553897180762852E-2"/>
                  <c:y val="2.3952095808383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6533996683250415E-2"/>
                  <c:y val="3.1936127744510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1940298507462687E-2"/>
                  <c:y val="2.7944111776447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7860696517412936E-2"/>
                  <c:y val="-3.1936127744510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920398009950248E-2"/>
                  <c:y val="-6.986027944111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9900497512438005E-2"/>
                  <c:y val="-6.986027944111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Правительство</c:v>
                </c:pt>
                <c:pt idx="4">
                  <c:v>Минсоц</c:v>
                </c:pt>
                <c:pt idx="5">
                  <c:v>Прочие</c:v>
                </c:pt>
                <c:pt idx="6">
                  <c:v>Микульт</c:v>
                </c:pt>
                <c:pt idx="7">
                  <c:v>Минсельх</c:v>
                </c:pt>
                <c:pt idx="8">
                  <c:v>Минфин</c:v>
                </c:pt>
                <c:pt idx="9">
                  <c:v>Минпром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МинЖКХ</c:v>
                </c:pt>
              </c:strCache>
            </c:strRef>
          </c:cat>
          <c:val>
            <c:numRef>
              <c:f>Графики!$E$64:$E$76</c:f>
              <c:numCache>
                <c:formatCode>#,##0.00</c:formatCode>
                <c:ptCount val="13"/>
                <c:pt idx="0">
                  <c:v>2.5</c:v>
                </c:pt>
                <c:pt idx="1">
                  <c:v>2.8322580645161288</c:v>
                </c:pt>
                <c:pt idx="2">
                  <c:v>3.3675496688741724</c:v>
                </c:pt>
                <c:pt idx="3">
                  <c:v>3.7924528301886791</c:v>
                </c:pt>
                <c:pt idx="4">
                  <c:v>2.5970149253731343</c:v>
                </c:pt>
                <c:pt idx="5">
                  <c:v>3.9268292682926829</c:v>
                </c:pt>
                <c:pt idx="6">
                  <c:v>2.3333333333333335</c:v>
                </c:pt>
                <c:pt idx="7">
                  <c:v>9.1666666666666661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8416"/>
        <c:axId val="194468976"/>
      </c:lineChart>
      <c:catAx>
        <c:axId val="19446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4467856"/>
        <c:crosses val="autoZero"/>
        <c:auto val="1"/>
        <c:lblAlgn val="ctr"/>
        <c:lblOffset val="100"/>
        <c:noMultiLvlLbl val="0"/>
      </c:catAx>
      <c:valAx>
        <c:axId val="19446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4467296"/>
        <c:crosses val="autoZero"/>
        <c:crossBetween val="between"/>
      </c:valAx>
      <c:catAx>
        <c:axId val="194468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4468976"/>
        <c:crosses val="autoZero"/>
        <c:auto val="1"/>
        <c:lblAlgn val="ctr"/>
        <c:lblOffset val="100"/>
        <c:noMultiLvlLbl val="0"/>
      </c:catAx>
      <c:valAx>
        <c:axId val="194468976"/>
        <c:scaling>
          <c:orientation val="minMax"/>
        </c:scaling>
        <c:delete val="0"/>
        <c:axPos val="r"/>
        <c:numFmt formatCode="#,##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446841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2800" b="1">
                <a:latin typeface="PT Astra Serif" panose="020A0603040505020204" pitchFamily="18" charset="-52"/>
                <a:ea typeface="PT Astra Serif" panose="020A0603040505020204" pitchFamily="18" charset="-52"/>
              </a:rPr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Минспорт</c:v>
                </c:pt>
                <c:pt idx="1">
                  <c:v>Минсоц</c:v>
                </c:pt>
                <c:pt idx="2">
                  <c:v>Минпросвещения</c:v>
                </c:pt>
                <c:pt idx="3">
                  <c:v>Правительство</c:v>
                </c:pt>
                <c:pt idx="4">
                  <c:v>Прочие</c:v>
                </c:pt>
                <c:pt idx="5">
                  <c:v>Минсельхоз</c:v>
                </c:pt>
                <c:pt idx="6">
                  <c:v>Минприроды</c:v>
                </c:pt>
                <c:pt idx="7">
                  <c:v>Минкульт</c:v>
                </c:pt>
                <c:pt idx="8">
                  <c:v>Минздрав</c:v>
                </c:pt>
                <c:pt idx="9">
                  <c:v>Минфин</c:v>
                </c:pt>
                <c:pt idx="10">
                  <c:v>Минстрой</c:v>
                </c:pt>
                <c:pt idx="11">
                  <c:v>Минпром</c:v>
                </c:pt>
                <c:pt idx="12">
                  <c:v>Минэнерго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70.093382605699134</c:v>
                </c:pt>
                <c:pt idx="1">
                  <c:v>54.536095230995727</c:v>
                </c:pt>
                <c:pt idx="2">
                  <c:v>54.444671638222097</c:v>
                </c:pt>
                <c:pt idx="3">
                  <c:v>52.987015622870693</c:v>
                </c:pt>
                <c:pt idx="4">
                  <c:v>50.203495767098595</c:v>
                </c:pt>
                <c:pt idx="5">
                  <c:v>42.742993135766234</c:v>
                </c:pt>
                <c:pt idx="6">
                  <c:v>40.768368586086716</c:v>
                </c:pt>
                <c:pt idx="7">
                  <c:v>34.60744476242472</c:v>
                </c:pt>
                <c:pt idx="8">
                  <c:v>30.539384796522306</c:v>
                </c:pt>
                <c:pt idx="9">
                  <c:v>18.438379677224454</c:v>
                </c:pt>
                <c:pt idx="10">
                  <c:v>11.08288451909047</c:v>
                </c:pt>
                <c:pt idx="11">
                  <c:v>4.9627881910728009</c:v>
                </c:pt>
                <c:pt idx="12">
                  <c:v>2.9027161681199938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832064"/>
        <c:axId val="194654992"/>
      </c:barChart>
      <c:lineChart>
        <c:grouping val="standard"/>
        <c:varyColors val="0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Минспорт</c:v>
                </c:pt>
                <c:pt idx="1">
                  <c:v>Минсоц</c:v>
                </c:pt>
                <c:pt idx="2">
                  <c:v>Минпросвещения</c:v>
                </c:pt>
                <c:pt idx="3">
                  <c:v>Правительство</c:v>
                </c:pt>
                <c:pt idx="4">
                  <c:v>Прочие</c:v>
                </c:pt>
                <c:pt idx="5">
                  <c:v>Минсельхоз</c:v>
                </c:pt>
                <c:pt idx="6">
                  <c:v>Минприроды</c:v>
                </c:pt>
                <c:pt idx="7">
                  <c:v>Минкульт</c:v>
                </c:pt>
                <c:pt idx="8">
                  <c:v>Минздрав</c:v>
                </c:pt>
                <c:pt idx="9">
                  <c:v>Минфин</c:v>
                </c:pt>
                <c:pt idx="10">
                  <c:v>Минстрой</c:v>
                </c:pt>
                <c:pt idx="11">
                  <c:v>Минпром</c:v>
                </c:pt>
                <c:pt idx="12">
                  <c:v>Минэнерго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656112"/>
        <c:axId val="194655552"/>
      </c:lineChart>
      <c:catAx>
        <c:axId val="19283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4654992"/>
        <c:crosses val="autoZero"/>
        <c:auto val="1"/>
        <c:lblAlgn val="ctr"/>
        <c:lblOffset val="100"/>
        <c:noMultiLvlLbl val="0"/>
      </c:catAx>
      <c:valAx>
        <c:axId val="19465499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2832064"/>
        <c:crosses val="autoZero"/>
        <c:crossBetween val="between"/>
        <c:majorUnit val="15"/>
      </c:valAx>
      <c:valAx>
        <c:axId val="194655552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194656112"/>
        <c:crosses val="max"/>
        <c:crossBetween val="between"/>
        <c:majorUnit val="15"/>
        <c:minorUnit val="3"/>
      </c:valAx>
      <c:catAx>
        <c:axId val="194656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46555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4722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Новоульяновск </c:v>
                </c:pt>
                <c:pt idx="3">
                  <c:v>Ульяновский район</c:v>
                </c:pt>
                <c:pt idx="4">
                  <c:v>Чердаклинский район</c:v>
                </c:pt>
                <c:pt idx="5">
                  <c:v>Барышский район</c:v>
                </c:pt>
                <c:pt idx="6">
                  <c:v>Мелекесский район</c:v>
                </c:pt>
                <c:pt idx="7">
                  <c:v>Николаевский район </c:v>
                </c:pt>
                <c:pt idx="8">
                  <c:v>Инзенский район</c:v>
                </c:pt>
                <c:pt idx="9">
                  <c:v>Вешкаймский район </c:v>
                </c:pt>
                <c:pt idx="10">
                  <c:v>Сенгилеевский район</c:v>
                </c:pt>
                <c:pt idx="11">
                  <c:v>Карсунский район</c:v>
                </c:pt>
                <c:pt idx="12">
                  <c:v>Старомайнский район</c:v>
                </c:pt>
                <c:pt idx="13">
                  <c:v>Цильнинский район</c:v>
                </c:pt>
                <c:pt idx="14">
                  <c:v>Сурский район</c:v>
                </c:pt>
                <c:pt idx="15">
                  <c:v>Тереньгульский район</c:v>
                </c:pt>
                <c:pt idx="16">
                  <c:v>Старокулаткинский район</c:v>
                </c:pt>
                <c:pt idx="17">
                  <c:v>Кузоватовский район </c:v>
                </c:pt>
                <c:pt idx="18">
                  <c:v>Майнский район</c:v>
                </c:pt>
                <c:pt idx="19">
                  <c:v>Новоспасский район</c:v>
                </c:pt>
                <c:pt idx="20">
                  <c:v>Радищевский район</c:v>
                </c:pt>
                <c:pt idx="21">
                  <c:v>Павловский район</c:v>
                </c:pt>
                <c:pt idx="22">
                  <c:v>Базарносызганский район</c:v>
                </c:pt>
                <c:pt idx="23">
                  <c:v>Новомалыклинский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1416.7167690000001</c:v>
                </c:pt>
                <c:pt idx="1">
                  <c:v>885.35531000000003</c:v>
                </c:pt>
                <c:pt idx="2">
                  <c:v>475.74104000000005</c:v>
                </c:pt>
                <c:pt idx="3">
                  <c:v>327.08913000000001</c:v>
                </c:pt>
                <c:pt idx="4">
                  <c:v>325.69444985000001</c:v>
                </c:pt>
                <c:pt idx="5">
                  <c:v>267.66035999999997</c:v>
                </c:pt>
                <c:pt idx="6">
                  <c:v>262.29550999999998</c:v>
                </c:pt>
                <c:pt idx="7">
                  <c:v>234.43401</c:v>
                </c:pt>
                <c:pt idx="8">
                  <c:v>220.85677799999999</c:v>
                </c:pt>
                <c:pt idx="9">
                  <c:v>203.32570408000001</c:v>
                </c:pt>
                <c:pt idx="10">
                  <c:v>195.42813000000001</c:v>
                </c:pt>
                <c:pt idx="11">
                  <c:v>192.85789</c:v>
                </c:pt>
                <c:pt idx="12">
                  <c:v>186.82640971999999</c:v>
                </c:pt>
                <c:pt idx="13">
                  <c:v>167.16162</c:v>
                </c:pt>
                <c:pt idx="14">
                  <c:v>149.04253999999997</c:v>
                </c:pt>
                <c:pt idx="15">
                  <c:v>137.99113999999997</c:v>
                </c:pt>
                <c:pt idx="16">
                  <c:v>135.80255</c:v>
                </c:pt>
                <c:pt idx="17">
                  <c:v>132.74847</c:v>
                </c:pt>
                <c:pt idx="18">
                  <c:v>128.32590999999999</c:v>
                </c:pt>
                <c:pt idx="19">
                  <c:v>126.09460541</c:v>
                </c:pt>
                <c:pt idx="20">
                  <c:v>120.84644</c:v>
                </c:pt>
                <c:pt idx="21">
                  <c:v>83.854299999999995</c:v>
                </c:pt>
                <c:pt idx="22">
                  <c:v>68.267929999999993</c:v>
                </c:pt>
                <c:pt idx="23">
                  <c:v>64.831154999999995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94658912"/>
        <c:axId val="194659472"/>
      </c:barChart>
      <c:lineChart>
        <c:grouping val="standard"/>
        <c:varyColors val="0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58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318071596654194E-2"/>
                  <c:y val="2.984760386880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836650465231968E-2"/>
                  <c:y val="-2.839505873808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4179982845539728E-2"/>
                  <c:y val="2.6028803843245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179982845539755E-2"/>
                  <c:y val="-3.5493823422606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1976283096615954E-2"/>
                  <c:y val="2.5349297417931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493318084924204E-2"/>
                  <c:y val="-3.3127568527766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2033083843720307E-2"/>
                  <c:y val="2.1577449851699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3376416224028071E-2"/>
                  <c:y val="-2.9542971841007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0462442700791963E-2"/>
                  <c:y val="2.8441824878133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4179982845539728E-2"/>
                  <c:y val="-2.3662548948404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063100137174444E-2"/>
                  <c:y val="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2836650465231968E-2"/>
                  <c:y val="-3.0761313632926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263587198825143E-2"/>
                  <c:y val="2.061678762825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1862681602407251E-2"/>
                  <c:y val="-2.434224169300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1834228341753487E-2"/>
                  <c:y val="2.2983042523091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4719748604335831E-2"/>
                  <c:y val="-2.5747648045110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2.1805880855302801E-2"/>
                  <c:y val="2.2748839184286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8985092289578881E-2"/>
                  <c:y val="-3.1441006377522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2808197204578204E-2"/>
                  <c:y val="-2.5302531277883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5.373329521231051E-3"/>
                  <c:y val="-2.839505873808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4322037600402194E-2"/>
                  <c:y val="2.061678762825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2.2836650465231968E-2"/>
                  <c:y val="-2.839505873808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Новоульяновск </c:v>
                </c:pt>
                <c:pt idx="3">
                  <c:v>Ульяновский район</c:v>
                </c:pt>
                <c:pt idx="4">
                  <c:v>Чердаклинский район</c:v>
                </c:pt>
                <c:pt idx="5">
                  <c:v>Барышский район</c:v>
                </c:pt>
                <c:pt idx="6">
                  <c:v>Мелекесский район</c:v>
                </c:pt>
                <c:pt idx="7">
                  <c:v>Николаевский район </c:v>
                </c:pt>
                <c:pt idx="8">
                  <c:v>Инзенский район</c:v>
                </c:pt>
                <c:pt idx="9">
                  <c:v>Вешкаймский район </c:v>
                </c:pt>
                <c:pt idx="10">
                  <c:v>Сенгилеевский район</c:v>
                </c:pt>
                <c:pt idx="11">
                  <c:v>Карсунский район</c:v>
                </c:pt>
                <c:pt idx="12">
                  <c:v>Старомайнский район</c:v>
                </c:pt>
                <c:pt idx="13">
                  <c:v>Цильнинский район</c:v>
                </c:pt>
                <c:pt idx="14">
                  <c:v>Сурский район</c:v>
                </c:pt>
                <c:pt idx="15">
                  <c:v>Тереньгульский район</c:v>
                </c:pt>
                <c:pt idx="16">
                  <c:v>Старокулаткинский район</c:v>
                </c:pt>
                <c:pt idx="17">
                  <c:v>Кузоватовский район </c:v>
                </c:pt>
                <c:pt idx="18">
                  <c:v>Майнский район</c:v>
                </c:pt>
                <c:pt idx="19">
                  <c:v>Новоспасский район</c:v>
                </c:pt>
                <c:pt idx="20">
                  <c:v>Радищевский район</c:v>
                </c:pt>
                <c:pt idx="21">
                  <c:v>Павловский район</c:v>
                </c:pt>
                <c:pt idx="22">
                  <c:v>Базарносызганский район</c:v>
                </c:pt>
                <c:pt idx="23">
                  <c:v>Новомалыклинский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4.592119275825346</c:v>
                </c:pt>
                <c:pt idx="1">
                  <c:v>3.4953271028037385</c:v>
                </c:pt>
                <c:pt idx="2">
                  <c:v>5.5128205128205128</c:v>
                </c:pt>
                <c:pt idx="3">
                  <c:v>4.6483516483516487</c:v>
                </c:pt>
                <c:pt idx="4">
                  <c:v>6.333333333333333</c:v>
                </c:pt>
                <c:pt idx="5">
                  <c:v>4.5217391304347823</c:v>
                </c:pt>
                <c:pt idx="6">
                  <c:v>5.407766990291262</c:v>
                </c:pt>
                <c:pt idx="7">
                  <c:v>3.9651162790697674</c:v>
                </c:pt>
                <c:pt idx="8">
                  <c:v>5.476923076923077</c:v>
                </c:pt>
                <c:pt idx="9">
                  <c:v>3.2846715328467155</c:v>
                </c:pt>
                <c:pt idx="10">
                  <c:v>4.464788732394366</c:v>
                </c:pt>
                <c:pt idx="11">
                  <c:v>3.6691176470588234</c:v>
                </c:pt>
                <c:pt idx="12">
                  <c:v>3.4217687074829932</c:v>
                </c:pt>
                <c:pt idx="13">
                  <c:v>5.8125</c:v>
                </c:pt>
                <c:pt idx="14">
                  <c:v>3.2307692307692308</c:v>
                </c:pt>
                <c:pt idx="15">
                  <c:v>4.6756756756756754</c:v>
                </c:pt>
                <c:pt idx="16">
                  <c:v>3.2</c:v>
                </c:pt>
                <c:pt idx="17">
                  <c:v>4.9800000000000004</c:v>
                </c:pt>
                <c:pt idx="18">
                  <c:v>2.7291666666666665</c:v>
                </c:pt>
                <c:pt idx="19">
                  <c:v>4.8780487804878048</c:v>
                </c:pt>
                <c:pt idx="20">
                  <c:v>7.243243243243243</c:v>
                </c:pt>
                <c:pt idx="21">
                  <c:v>4.0652173913043477</c:v>
                </c:pt>
                <c:pt idx="22">
                  <c:v>3.253968253968254</c:v>
                </c:pt>
                <c:pt idx="23">
                  <c:v>3.7882352941176469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660032"/>
        <c:axId val="194660592"/>
      </c:lineChart>
      <c:catAx>
        <c:axId val="19465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194659472"/>
        <c:crosses val="autoZero"/>
        <c:auto val="1"/>
        <c:lblAlgn val="ctr"/>
        <c:lblOffset val="100"/>
        <c:noMultiLvlLbl val="0"/>
      </c:catAx>
      <c:valAx>
        <c:axId val="19465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658912"/>
        <c:crosses val="autoZero"/>
        <c:crossBetween val="between"/>
      </c:valAx>
      <c:catAx>
        <c:axId val="194660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4660592"/>
        <c:crosses val="autoZero"/>
        <c:auto val="1"/>
        <c:lblAlgn val="ctr"/>
        <c:lblOffset val="100"/>
        <c:noMultiLvlLbl val="0"/>
      </c:catAx>
      <c:valAx>
        <c:axId val="19466059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66003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2400" b="1">
                <a:latin typeface="PT Astra Serif" panose="020A0603040505020204" pitchFamily="18" charset="-52"/>
                <a:ea typeface="PT Astra Serif" panose="020A0603040505020204" pitchFamily="18" charset="-52"/>
              </a:rPr>
              <a:t>Доля размещения у СМП в разрезе муниципальных 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Сурский район</c:v>
                </c:pt>
                <c:pt idx="2">
                  <c:v>Инзенский район</c:v>
                </c:pt>
                <c:pt idx="3">
                  <c:v>Новоспасский район</c:v>
                </c:pt>
                <c:pt idx="4">
                  <c:v>Кузоватовский район </c:v>
                </c:pt>
                <c:pt idx="5">
                  <c:v>Цильнинский район</c:v>
                </c:pt>
                <c:pt idx="6">
                  <c:v>Карсунский район</c:v>
                </c:pt>
                <c:pt idx="7">
                  <c:v>Тереньгульский район</c:v>
                </c:pt>
                <c:pt idx="8">
                  <c:v>Старомайнский район</c:v>
                </c:pt>
                <c:pt idx="9">
                  <c:v>Мелекесский район</c:v>
                </c:pt>
                <c:pt idx="10">
                  <c:v>Новомалыклинский район</c:v>
                </c:pt>
                <c:pt idx="11">
                  <c:v>Майнский район</c:v>
                </c:pt>
                <c:pt idx="12">
                  <c:v>Димитровград </c:v>
                </c:pt>
                <c:pt idx="13">
                  <c:v>Сенгилеевский район</c:v>
                </c:pt>
                <c:pt idx="14">
                  <c:v>Ульяновский район</c:v>
                </c:pt>
                <c:pt idx="15">
                  <c:v>Радищевский район</c:v>
                </c:pt>
                <c:pt idx="16">
                  <c:v>Чердаклинский район</c:v>
                </c:pt>
                <c:pt idx="17">
                  <c:v>Вешкаймский район </c:v>
                </c:pt>
                <c:pt idx="18">
                  <c:v>Павловский район</c:v>
                </c:pt>
                <c:pt idx="19">
                  <c:v>Николаевский район </c:v>
                </c:pt>
                <c:pt idx="20">
                  <c:v>Старокулаткинский район</c:v>
                </c:pt>
                <c:pt idx="21">
                  <c:v>Ульяновск </c:v>
                </c:pt>
                <c:pt idx="22">
                  <c:v>Новоульяновск </c:v>
                </c:pt>
                <c:pt idx="23">
                  <c:v>Барышский район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97.283876951307079</c:v>
                </c:pt>
                <c:pt idx="1">
                  <c:v>93.167006095002534</c:v>
                </c:pt>
                <c:pt idx="2">
                  <c:v>91.383107673735637</c:v>
                </c:pt>
                <c:pt idx="3">
                  <c:v>90.348863510669318</c:v>
                </c:pt>
                <c:pt idx="4">
                  <c:v>86.201861595235471</c:v>
                </c:pt>
                <c:pt idx="5">
                  <c:v>82.164839162075381</c:v>
                </c:pt>
                <c:pt idx="6">
                  <c:v>71.846523336178308</c:v>
                </c:pt>
                <c:pt idx="7">
                  <c:v>71.166814214922496</c:v>
                </c:pt>
                <c:pt idx="8">
                  <c:v>68.38712052775206</c:v>
                </c:pt>
                <c:pt idx="9">
                  <c:v>66.097999922361694</c:v>
                </c:pt>
                <c:pt idx="10">
                  <c:v>62.136851873508213</c:v>
                </c:pt>
                <c:pt idx="11">
                  <c:v>60.974196534433567</c:v>
                </c:pt>
                <c:pt idx="12">
                  <c:v>59.75907838465104</c:v>
                </c:pt>
                <c:pt idx="13">
                  <c:v>57.834957662198626</c:v>
                </c:pt>
                <c:pt idx="14">
                  <c:v>57.43405244853723</c:v>
                </c:pt>
                <c:pt idx="15">
                  <c:v>53.273482215530663</c:v>
                </c:pt>
                <c:pt idx="16">
                  <c:v>43.744858516514313</c:v>
                </c:pt>
                <c:pt idx="17">
                  <c:v>42.774873055401187</c:v>
                </c:pt>
                <c:pt idx="18">
                  <c:v>41.930152689558142</c:v>
                </c:pt>
                <c:pt idx="19">
                  <c:v>33.260396477952092</c:v>
                </c:pt>
                <c:pt idx="20">
                  <c:v>23.344312657720497</c:v>
                </c:pt>
                <c:pt idx="21">
                  <c:v>14.601402534445828</c:v>
                </c:pt>
                <c:pt idx="22">
                  <c:v>8.9438354982438959</c:v>
                </c:pt>
                <c:pt idx="23">
                  <c:v>8.8559735989729624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014304"/>
        <c:axId val="195014864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Сурский район</c:v>
                </c:pt>
                <c:pt idx="2">
                  <c:v>Инзенский район</c:v>
                </c:pt>
                <c:pt idx="3">
                  <c:v>Новоспасский район</c:v>
                </c:pt>
                <c:pt idx="4">
                  <c:v>Кузоватовский район </c:v>
                </c:pt>
                <c:pt idx="5">
                  <c:v>Цильнинский район</c:v>
                </c:pt>
                <c:pt idx="6">
                  <c:v>Карсунский район</c:v>
                </c:pt>
                <c:pt idx="7">
                  <c:v>Тереньгульский район</c:v>
                </c:pt>
                <c:pt idx="8">
                  <c:v>Старомайнский район</c:v>
                </c:pt>
                <c:pt idx="9">
                  <c:v>Мелекесский район</c:v>
                </c:pt>
                <c:pt idx="10">
                  <c:v>Новомалыклинский район</c:v>
                </c:pt>
                <c:pt idx="11">
                  <c:v>Майнский район</c:v>
                </c:pt>
                <c:pt idx="12">
                  <c:v>Димитровград </c:v>
                </c:pt>
                <c:pt idx="13">
                  <c:v>Сенгилеевский район</c:v>
                </c:pt>
                <c:pt idx="14">
                  <c:v>Ульяновский район</c:v>
                </c:pt>
                <c:pt idx="15">
                  <c:v>Радищевский район</c:v>
                </c:pt>
                <c:pt idx="16">
                  <c:v>Чердаклинский район</c:v>
                </c:pt>
                <c:pt idx="17">
                  <c:v>Вешкаймский район </c:v>
                </c:pt>
                <c:pt idx="18">
                  <c:v>Павловский район</c:v>
                </c:pt>
                <c:pt idx="19">
                  <c:v>Николаевский район </c:v>
                </c:pt>
                <c:pt idx="20">
                  <c:v>Старокулаткинский район</c:v>
                </c:pt>
                <c:pt idx="21">
                  <c:v>Ульяновск </c:v>
                </c:pt>
                <c:pt idx="22">
                  <c:v>Новоульяновск </c:v>
                </c:pt>
                <c:pt idx="23">
                  <c:v>Барышский район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015984"/>
        <c:axId val="195015424"/>
      </c:lineChart>
      <c:catAx>
        <c:axId val="1950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5014864"/>
        <c:crossesAt val="0"/>
        <c:auto val="1"/>
        <c:lblAlgn val="ctr"/>
        <c:lblOffset val="100"/>
        <c:noMultiLvlLbl val="0"/>
      </c:catAx>
      <c:valAx>
        <c:axId val="195014864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5014304"/>
        <c:crosses val="autoZero"/>
        <c:crossBetween val="between"/>
        <c:majorUnit val="15"/>
      </c:valAx>
      <c:valAx>
        <c:axId val="195015424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195015984"/>
        <c:crosses val="max"/>
        <c:crossBetween val="between"/>
        <c:majorUnit val="15"/>
        <c:minorUnit val="5"/>
      </c:valAx>
      <c:catAx>
        <c:axId val="195015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5015424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0.13037</cdr:y>
    </cdr:from>
    <cdr:to>
      <cdr:x>0.04794</cdr:x>
      <cdr:y>0.25038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0" y="699715"/>
          <a:ext cx="453224" cy="64405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0.06308</cdr:x>
      <cdr:y>0.24297</cdr:y>
    </cdr:from>
    <cdr:to>
      <cdr:x>0.08495</cdr:x>
      <cdr:y>0.26964</cdr:y>
    </cdr:to>
    <cdr:sp macro="" textlink="">
      <cdr:nvSpPr>
        <cdr:cNvPr id="3" name="Блок-схема: перфолента 2"/>
        <cdr:cNvSpPr/>
      </cdr:nvSpPr>
      <cdr:spPr>
        <a:xfrm xmlns:a="http://schemas.openxmlformats.org/drawingml/2006/main">
          <a:off x="596348" y="1304014"/>
          <a:ext cx="206733" cy="143124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F546-4D38-405A-AF37-756D3F1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Вероника Евгеньевна</cp:lastModifiedBy>
  <cp:revision>29</cp:revision>
  <cp:lastPrinted>2020-11-13T06:43:00Z</cp:lastPrinted>
  <dcterms:created xsi:type="dcterms:W3CDTF">2020-09-17T11:25:00Z</dcterms:created>
  <dcterms:modified xsi:type="dcterms:W3CDTF">2020-11-13T06:45:00Z</dcterms:modified>
</cp:coreProperties>
</file>