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542F2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4F6A21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16"/>
          <w:szCs w:val="16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34525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>, в том числе согласно информации, полученной из единой информационной системы в сфере закупок,</w:t>
      </w:r>
      <w:r w:rsidR="003860B4" w:rsidRPr="003860B4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>на диаграммах 1</w:t>
      </w:r>
      <w:r w:rsidR="00AE0F68" w:rsidRPr="00D04553">
        <w:rPr>
          <w:rFonts w:ascii="PT Astra Serif" w:hAnsi="PT Astra Serif"/>
          <w:sz w:val="28"/>
        </w:rPr>
        <w:t>-</w:t>
      </w:r>
      <w:r w:rsidR="003860B4" w:rsidRPr="003860B4">
        <w:rPr>
          <w:rFonts w:ascii="PT Astra Serif" w:hAnsi="PT Astra Serif"/>
          <w:sz w:val="28"/>
        </w:rPr>
        <w:t>10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отчету).</w:t>
      </w:r>
    </w:p>
    <w:p w:rsidR="00D67207" w:rsidRPr="004F6A21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региональной информационной </w:t>
      </w:r>
      <w:r w:rsidR="00FB3DD7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0A7693">
        <w:rPr>
          <w:rFonts w:ascii="PT Astra Serif" w:hAnsi="PT Astra Serif"/>
          <w:sz w:val="28"/>
          <w:szCs w:val="28"/>
        </w:rPr>
        <w:br/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«АЦК-Госзаказ» (далее </w:t>
      </w:r>
      <w:r w:rsidR="00FB3DD7">
        <w:rPr>
          <w:rFonts w:ascii="PT Astra Serif" w:hAnsi="PT Astra Serif"/>
          <w:sz w:val="28"/>
          <w:szCs w:val="28"/>
          <w:lang w:eastAsia="ru-RU"/>
        </w:rPr>
        <w:t>–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заказчики, Закон № 44-ФЗ</w:t>
      </w:r>
      <w:r w:rsidR="00FB3DD7">
        <w:rPr>
          <w:rFonts w:ascii="PT Astra Serif" w:hAnsi="PT Astra Serif"/>
          <w:sz w:val="28"/>
          <w:szCs w:val="28"/>
          <w:lang w:eastAsia="ru-RU"/>
        </w:rPr>
        <w:t>, РИС АЦК-Госзаказ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соответственно)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 xml:space="preserve">проведен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 xml:space="preserve">256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государственных заказчиков Ульяновской области на 2020 год на предмет наличия планов-графиков в единой информационной системе в сфере закупок (далее – ЕИС). </w:t>
      </w:r>
    </w:p>
    <w:p w:rsidR="007A7A50" w:rsidRDefault="007A7A50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23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080B38" w:rsidRPr="00E424B1" w:rsidRDefault="00F3774C" w:rsidP="00DD52EC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нформация по 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объему несостоявших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</w:t>
      </w:r>
      <w:r w:rsidR="0034525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государственных 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 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лекарственных препаратов и медицинских изделий в 2019 году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D52EC" w:rsidRPr="00E424B1" w:rsidRDefault="00F3774C" w:rsidP="00DD52E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 по государственным закупкам (проведенным и запланированным) отрасли здравоохранения Ульяновской области на бюджет 2020 года.</w:t>
      </w:r>
    </w:p>
    <w:p w:rsidR="00DD52EC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налитическая справка по объемам запланированных и проведенных</w:t>
      </w:r>
      <w:r w:rsidR="0034525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Министерством здравоохранения Ульяновской области и подведомственными ему лечебными учреждениями закупок на выделенные лимиты 2020 года.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объеме экономии по проведенным конкурентным процедурам на бюджет 2020 года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главных распорядителей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бюджетных средств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источников финансирования 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3F2A7F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А</w:t>
      </w:r>
      <w:r w:rsidR="00C05E22" w:rsidRPr="00E424B1">
        <w:rPr>
          <w:rFonts w:ascii="PT Astra Serif" w:hAnsi="PT Astra Serif"/>
          <w:sz w:val="28"/>
          <w:szCs w:val="28"/>
        </w:rPr>
        <w:t>налитическая справка по объектному составу закупок на бюджет 2019 года, осуществленных муниципальными образованиями Ульяновской области с предоставлением преимуществ субъектам малого предпринимательства.</w:t>
      </w:r>
    </w:p>
    <w:p w:rsidR="00F3774C" w:rsidRDefault="002324C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/>
          <w:sz w:val="28"/>
          <w:szCs w:val="28"/>
        </w:rPr>
        <w:t xml:space="preserve"> по мерам поддержки субъектов малого предпринимательства (еженедельно) (в соответствии с перечнем поручений Правительств</w:t>
      </w:r>
      <w:r w:rsidR="00B0242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РФ от 26.04.2020 № ММ-П43-4054кв, </w:t>
      </w:r>
      <w:r w:rsidR="00F054A2" w:rsidRPr="00F054A2">
        <w:rPr>
          <w:rFonts w:ascii="PT Astra Serif" w:hAnsi="PT Astra Serif"/>
          <w:sz w:val="28"/>
          <w:szCs w:val="28"/>
        </w:rPr>
        <w:t>распоряжением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Pr="002324CC">
        <w:rPr>
          <w:rFonts w:ascii="PT Astra Serif" w:hAnsi="PT Astra Serif"/>
          <w:sz w:val="28"/>
          <w:szCs w:val="28"/>
        </w:rPr>
        <w:t>Губернатор</w:t>
      </w:r>
      <w:r>
        <w:rPr>
          <w:rFonts w:ascii="PT Astra Serif" w:hAnsi="PT Astra Serif"/>
          <w:sz w:val="28"/>
          <w:szCs w:val="28"/>
        </w:rPr>
        <w:t>а</w:t>
      </w:r>
      <w:r w:rsidRPr="002324C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054A2" w:rsidRPr="00F054A2">
        <w:rPr>
          <w:rFonts w:ascii="PT Astra Serif" w:hAnsi="PT Astra Serif"/>
          <w:sz w:val="28"/>
          <w:szCs w:val="28"/>
        </w:rPr>
        <w:t xml:space="preserve"> от 01.06.2020 469-р «Об утверждении плана действий по нормализации деловой жизни, восстановлению занятости, доходов граждан и роста экономики»</w:t>
      </w:r>
      <w:r>
        <w:rPr>
          <w:rFonts w:ascii="PT Astra Serif" w:hAnsi="PT Astra Serif"/>
          <w:sz w:val="28"/>
          <w:szCs w:val="28"/>
        </w:rPr>
        <w:t>).</w:t>
      </w:r>
    </w:p>
    <w:p w:rsidR="00C05E22" w:rsidRPr="00F67B64" w:rsidRDefault="00C05E22" w:rsidP="00C05E22">
      <w:pPr>
        <w:spacing w:after="0" w:line="240" w:lineRule="auto"/>
        <w:ind w:left="1069"/>
        <w:jc w:val="both"/>
        <w:rPr>
          <w:rFonts w:ascii="PT Astra Serif" w:hAnsi="PT Astra Serif"/>
          <w:sz w:val="16"/>
          <w:szCs w:val="16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 xml:space="preserve">осуществляется обучение/консультирование заказчиков(пользователей)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300929" w:rsidRDefault="00E424B1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21.01.2020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</w:rPr>
              <w:t xml:space="preserve">Использование юридически значимого электронного документооборота </w:t>
            </w:r>
            <w:r w:rsidRPr="00300929">
              <w:rPr>
                <w:rFonts w:ascii="PT Astra Serif" w:eastAsia="Times New Roman" w:hAnsi="PT Astra Serif"/>
                <w:sz w:val="24"/>
                <w:szCs w:val="24"/>
              </w:rPr>
              <w:br/>
              <w:t>в АЦК-Госзаказ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424B1" w:rsidRPr="00300929" w:rsidTr="00E424B1">
        <w:trPr>
          <w:trHeight w:val="270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274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264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11.02.2020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253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06.07.2020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Самостоятельное размещение закупок до 300 тысяч рублей, с использованием РИС «АЦК-Госзаказ», составление протоколов по закупкам на электронных торговых площадках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E424B1" w:rsidRPr="00300929" w:rsidTr="00E424B1">
        <w:trPr>
          <w:trHeight w:val="275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08.07.2020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21.07.2020 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Создание Заявок на закупку с учётом новых рекомендуемых форм документов и методических рекомендаций, используемых заказчиками при подготовке к осуществлению закупок товаров, работ, услуг, утверждённых распоряжением Агентства государственных закупок Ульяновской области от 15.07.2020 № 30-р.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муниципальных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работе с новыми 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lastRenderedPageBreak/>
              <w:t>формами документов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1. Обзор новых рекомендуемых форм документов и методических рекомендаций, используемых заказчиками при подготовке к осуществлению закупок товаров, работ, услуг, утверждённых распоряжением Агентства государственных закупок Ульяновской области от 15.07.2020 № 30-р;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2. 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300929" w:rsidP="000015EC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  <w:r w:rsidR="000015EC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Вебинар</w:t>
            </w:r>
            <w:proofErr w:type="spellEnd"/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направленный на обучение </w:t>
            </w:r>
            <w:r w:rsidRPr="0030092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государственных</w:t>
            </w: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заказчиков заполнению отчётных форм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 xml:space="preserve">муниципальных 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>заказчиков работе с новыми формами документов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государственных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заполнению отчётных форм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муниципальных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работе с новыми формами документов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09.09.2020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C67DA6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16.09.2020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C67DA6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23.09.2020</w:t>
            </w: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Разъяснение заказчикам использования «национального режима» в закупках</w:t>
            </w:r>
          </w:p>
        </w:tc>
        <w:tc>
          <w:tcPr>
            <w:tcW w:w="1701" w:type="dxa"/>
          </w:tcPr>
          <w:p w:rsidR="00C67DA6" w:rsidRDefault="00D30D5E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30.09.2020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D30D5E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07.10.2020</w:t>
            </w:r>
          </w:p>
        </w:tc>
        <w:tc>
          <w:tcPr>
            <w:tcW w:w="5529" w:type="dxa"/>
          </w:tcPr>
          <w:p w:rsidR="00313E37" w:rsidRPr="008C4042" w:rsidRDefault="00313E37" w:rsidP="00313E37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13E3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13E37">
              <w:rPr>
                <w:rFonts w:ascii="PT Astra Serif" w:eastAsia="Batang" w:hAnsi="PT Astra Serif"/>
                <w:lang w:eastAsia="en-US"/>
              </w:rPr>
              <w:t xml:space="preserve">, направленный на разбор типичных ошибок при работе в АЦК-ГЗ 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14.10.2020</w:t>
            </w:r>
          </w:p>
        </w:tc>
        <w:tc>
          <w:tcPr>
            <w:tcW w:w="5529" w:type="dxa"/>
          </w:tcPr>
          <w:p w:rsidR="00313E37" w:rsidRPr="008C4042" w:rsidRDefault="00313E37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313E37">
              <w:rPr>
                <w:rFonts w:ascii="PT Astra Serif" w:eastAsia="Batang" w:hAnsi="PT Astra Serif"/>
                <w:lang w:eastAsia="en-US"/>
              </w:rPr>
              <w:t>Составление и размещение протоколов по закупкам на ЭТП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21.10.2020</w:t>
            </w:r>
          </w:p>
        </w:tc>
        <w:tc>
          <w:tcPr>
            <w:tcW w:w="5529" w:type="dxa"/>
          </w:tcPr>
          <w:p w:rsidR="00313E37" w:rsidRPr="00313E37" w:rsidRDefault="00313E37" w:rsidP="00313E3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166664">
              <w:rPr>
                <w:rFonts w:ascii="PT Astra Serif" w:eastAsia="Batang" w:hAnsi="PT Astra Serif"/>
                <w:lang w:eastAsia="en-US"/>
              </w:rPr>
              <w:t>Новая рубрика.</w:t>
            </w:r>
            <w:r w:rsidRPr="00313E37">
              <w:rPr>
                <w:rFonts w:ascii="PT Astra Serif" w:eastAsia="Batang" w:hAnsi="PT Astra Serif"/>
                <w:lang w:eastAsia="en-US"/>
              </w:rPr>
              <w:t xml:space="preserve">  ГОСЗАКУПКИ. Мнение эксперта.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Рассматриваемые вопросы на </w:t>
            </w:r>
            <w:proofErr w:type="spellStart"/>
            <w:r w:rsidRPr="00313E37">
              <w:rPr>
                <w:rFonts w:ascii="PT Astra Serif" w:eastAsia="Batang" w:hAnsi="PT Astra Serif"/>
                <w:sz w:val="24"/>
                <w:szCs w:val="24"/>
              </w:rPr>
              <w:t>вебинаре</w:t>
            </w:r>
            <w:proofErr w:type="spellEnd"/>
            <w:r w:rsidRPr="00313E37">
              <w:rPr>
                <w:rFonts w:ascii="PT Astra Serif" w:eastAsia="Batang" w:hAnsi="PT Astra Serif"/>
                <w:sz w:val="24"/>
                <w:szCs w:val="24"/>
              </w:rPr>
              <w:t>: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1. Указание в проекте контракта условия об НДС. Вариативные формулировки.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2. Новые правила проведения строительных закупок.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3. Практика ненадлежащего исполнения контракта: мотивированный отказ от приёмки товара. 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28.10.2020</w:t>
            </w:r>
          </w:p>
        </w:tc>
        <w:tc>
          <w:tcPr>
            <w:tcW w:w="5529" w:type="dxa"/>
          </w:tcPr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>
              <w:rPr>
                <w:rFonts w:ascii="PT Astra Serif" w:eastAsia="Batang" w:hAnsi="PT Astra Serif"/>
                <w:sz w:val="24"/>
                <w:szCs w:val="24"/>
              </w:rPr>
              <w:t>С</w:t>
            </w: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овместный </w:t>
            </w:r>
            <w:r>
              <w:rPr>
                <w:rFonts w:ascii="PT Astra Serif" w:eastAsia="Batang" w:hAnsi="PT Astra Serif"/>
                <w:sz w:val="24"/>
                <w:szCs w:val="24"/>
              </w:rPr>
              <w:t>о</w:t>
            </w:r>
            <w:r w:rsidRPr="00313E37">
              <w:rPr>
                <w:rFonts w:ascii="PT Astra Serif" w:eastAsia="Batang" w:hAnsi="PT Astra Serif"/>
                <w:sz w:val="24"/>
                <w:szCs w:val="24"/>
              </w:rPr>
              <w:t>нлайн-семинар с РТС-Тендер. 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Порядок определения НМЦК при закупках </w:t>
            </w:r>
            <w:proofErr w:type="spellStart"/>
            <w:r w:rsidRPr="00313E37">
              <w:rPr>
                <w:rFonts w:ascii="PT Astra Serif" w:eastAsia="Batang" w:hAnsi="PT Astra Serif"/>
                <w:sz w:val="24"/>
                <w:szCs w:val="24"/>
              </w:rPr>
              <w:t>медизделий</w:t>
            </w:r>
            <w:proofErr w:type="spellEnd"/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. 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Приказ Минздрава России от 15.05.2020 N 450н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изделий».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59</w:t>
            </w:r>
          </w:p>
        </w:tc>
      </w:tr>
      <w:tr w:rsidR="00345257" w:rsidRPr="00300929" w:rsidTr="009E2405">
        <w:trPr>
          <w:trHeight w:val="126"/>
        </w:trPr>
        <w:tc>
          <w:tcPr>
            <w:tcW w:w="709" w:type="dxa"/>
          </w:tcPr>
          <w:p w:rsidR="00345257" w:rsidRDefault="00345257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10.11</w:t>
            </w:r>
            <w:r>
              <w:rPr>
                <w:rFonts w:ascii="PT Astra Serif" w:eastAsia="Batang" w:hAnsi="PT Astra Serif"/>
                <w:lang w:eastAsia="en-US"/>
              </w:rPr>
              <w:t>.2020</w:t>
            </w:r>
            <w:r w:rsidRPr="00345257">
              <w:rPr>
                <w:rFonts w:ascii="PT Astra Serif" w:eastAsia="Batang" w:hAnsi="PT Astra Serif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>.</w:t>
            </w:r>
          </w:p>
          <w:p w:rsid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оказание охранных услуг. </w:t>
            </w:r>
          </w:p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Приказ </w:t>
            </w: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Росгвардии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 xml:space="preserve"> от 01.06.2020 № 149 «Об утверждении типового контракта на оказание охранных услуг и информационной карты типового контракта на оказание охранных услуг».</w:t>
            </w:r>
          </w:p>
        </w:tc>
        <w:tc>
          <w:tcPr>
            <w:tcW w:w="1701" w:type="dxa"/>
          </w:tcPr>
          <w:p w:rsidR="00345257" w:rsidRDefault="00345257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</w:tr>
      <w:tr w:rsidR="00345257" w:rsidRPr="00300929" w:rsidTr="009E2405">
        <w:trPr>
          <w:trHeight w:val="126"/>
        </w:trPr>
        <w:tc>
          <w:tcPr>
            <w:tcW w:w="709" w:type="dxa"/>
          </w:tcPr>
          <w:p w:rsidR="00345257" w:rsidRDefault="00345257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12.11</w:t>
            </w:r>
            <w:r>
              <w:rPr>
                <w:rFonts w:ascii="PT Astra Serif" w:eastAsia="Batang" w:hAnsi="PT Astra Serif"/>
                <w:lang w:eastAsia="en-US"/>
              </w:rPr>
              <w:t>.2020</w:t>
            </w:r>
            <w:r w:rsidRPr="00345257">
              <w:rPr>
                <w:rFonts w:ascii="PT Astra Serif" w:eastAsia="Batang" w:hAnsi="PT Astra Serif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>.</w:t>
            </w:r>
          </w:p>
          <w:p w:rsid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поставку продуктов питания. </w:t>
            </w:r>
          </w:p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Приказ Минсельхоза России от 19.03.2020 № 140 «Об утверждении типового контракта на поставку продуктов питания».</w:t>
            </w:r>
          </w:p>
        </w:tc>
        <w:tc>
          <w:tcPr>
            <w:tcW w:w="1701" w:type="dxa"/>
          </w:tcPr>
          <w:p w:rsidR="00345257" w:rsidRDefault="00345257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</w:tr>
      <w:tr w:rsidR="00345257" w:rsidRPr="00300929" w:rsidTr="009E2405">
        <w:trPr>
          <w:trHeight w:val="126"/>
        </w:trPr>
        <w:tc>
          <w:tcPr>
            <w:tcW w:w="709" w:type="dxa"/>
          </w:tcPr>
          <w:p w:rsidR="00345257" w:rsidRDefault="00345257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17.11</w:t>
            </w:r>
            <w:r>
              <w:rPr>
                <w:rFonts w:ascii="PT Astra Serif" w:eastAsia="Batang" w:hAnsi="PT Astra Serif"/>
                <w:lang w:eastAsia="en-US"/>
              </w:rPr>
              <w:t>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>.</w:t>
            </w:r>
          </w:p>
          <w:p w:rsid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оказание услуг по ремонту электронного и оптического оборудования для обеспечения государственных и муниципальных нужд. </w:t>
            </w:r>
          </w:p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Приказ </w:t>
            </w: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Минпромторга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 xml:space="preserve"> России от 27.12.2019 № 5090 «Об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</w:t>
            </w:r>
            <w:r w:rsidRPr="00345257">
              <w:rPr>
                <w:rFonts w:ascii="PT Astra Serif" w:eastAsia="Batang" w:hAnsi="PT Astra Serif"/>
                <w:lang w:eastAsia="en-US"/>
              </w:rPr>
              <w:lastRenderedPageBreak/>
              <w:t>оптического оборудования для обеспечения государственных и муниципальных нужд».</w:t>
            </w:r>
          </w:p>
        </w:tc>
        <w:tc>
          <w:tcPr>
            <w:tcW w:w="1701" w:type="dxa"/>
          </w:tcPr>
          <w:p w:rsidR="00345257" w:rsidRDefault="00345257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lastRenderedPageBreak/>
              <w:t>34</w:t>
            </w:r>
          </w:p>
        </w:tc>
      </w:tr>
      <w:tr w:rsidR="00345257" w:rsidRPr="00300929" w:rsidTr="009E2405">
        <w:trPr>
          <w:trHeight w:val="126"/>
        </w:trPr>
        <w:tc>
          <w:tcPr>
            <w:tcW w:w="709" w:type="dxa"/>
          </w:tcPr>
          <w:p w:rsidR="00345257" w:rsidRDefault="00345257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19.11</w:t>
            </w:r>
            <w:r>
              <w:rPr>
                <w:rFonts w:ascii="PT Astra Serif" w:eastAsia="Batang" w:hAnsi="PT Astra Serif"/>
                <w:lang w:eastAsia="en-US"/>
              </w:rPr>
              <w:t>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>.</w:t>
            </w:r>
          </w:p>
          <w:p w:rsid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поставку лекарственных препаратов для медицинского применения. </w:t>
            </w:r>
          </w:p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Приказ Минздрава России от 26.10.2017 № 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применения».</w:t>
            </w:r>
          </w:p>
        </w:tc>
        <w:tc>
          <w:tcPr>
            <w:tcW w:w="1701" w:type="dxa"/>
          </w:tcPr>
          <w:p w:rsidR="00345257" w:rsidRDefault="00345257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</w:tr>
      <w:tr w:rsidR="00345257" w:rsidRPr="00300929" w:rsidTr="009E2405">
        <w:trPr>
          <w:trHeight w:val="126"/>
        </w:trPr>
        <w:tc>
          <w:tcPr>
            <w:tcW w:w="709" w:type="dxa"/>
          </w:tcPr>
          <w:p w:rsidR="00345257" w:rsidRDefault="00345257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24.11</w:t>
            </w:r>
            <w:r>
              <w:rPr>
                <w:rFonts w:ascii="PT Astra Serif" w:eastAsia="Batang" w:hAnsi="PT Astra Serif"/>
                <w:lang w:eastAsia="en-US"/>
              </w:rPr>
              <w:t>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>.</w:t>
            </w:r>
          </w:p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промышленного холодильного и вентиляционного. Приказ </w:t>
            </w: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Минпромторга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 xml:space="preserve"> России от 07.04.2020 № 1152 «Об утверждении типового контракта на оказание услуг выставочной и ярмарочной деятельности, типового контракта на оказание услуг по диагностике, техническому обслуживанию и ремонту автотранспортных средств, типового контракта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 и навигации, бумаги, картона, мебели для офисов и предприятий торговли, оборудования электрического осветительного, оборудования промышленного холодильного и вентиляционного, информационных карт данных типовых контрактов».</w:t>
            </w:r>
          </w:p>
        </w:tc>
        <w:tc>
          <w:tcPr>
            <w:tcW w:w="1701" w:type="dxa"/>
          </w:tcPr>
          <w:p w:rsidR="00345257" w:rsidRDefault="00345257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</w:tr>
      <w:tr w:rsidR="00345257" w:rsidRPr="00300929" w:rsidTr="009E2405">
        <w:trPr>
          <w:trHeight w:val="126"/>
        </w:trPr>
        <w:tc>
          <w:tcPr>
            <w:tcW w:w="709" w:type="dxa"/>
          </w:tcPr>
          <w:p w:rsidR="00345257" w:rsidRDefault="00345257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>26.11</w:t>
            </w:r>
            <w:r>
              <w:rPr>
                <w:rFonts w:ascii="PT Astra Serif" w:eastAsia="Batang" w:hAnsi="PT Astra Serif"/>
                <w:lang w:eastAsia="en-US"/>
              </w:rPr>
              <w:t>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 w:rsidRPr="00345257"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 w:rsidRPr="00345257">
              <w:rPr>
                <w:rFonts w:ascii="PT Astra Serif" w:eastAsia="Batang" w:hAnsi="PT Astra Serif"/>
                <w:lang w:eastAsia="en-US"/>
              </w:rPr>
              <w:t>.</w:t>
            </w:r>
          </w:p>
          <w:p w:rsid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изделий. </w:t>
            </w:r>
          </w:p>
          <w:p w:rsidR="00345257" w:rsidRPr="00345257" w:rsidRDefault="00345257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45257">
              <w:rPr>
                <w:rFonts w:ascii="PT Astra Serif" w:eastAsia="Batang" w:hAnsi="PT Astra Serif"/>
                <w:lang w:eastAsia="en-US"/>
              </w:rPr>
              <w:t xml:space="preserve">Приказ Минздрава России от 15.10.2015 N 724н «Об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</w:t>
            </w:r>
            <w:r w:rsidRPr="00345257">
              <w:rPr>
                <w:rFonts w:ascii="PT Astra Serif" w:eastAsia="Batang" w:hAnsi="PT Astra Serif"/>
                <w:lang w:eastAsia="en-US"/>
              </w:rPr>
              <w:lastRenderedPageBreak/>
              <w:t>медицинские изделия, и специалистов, осуществляющих техническое обслуживание медицинских изделий».</w:t>
            </w:r>
          </w:p>
        </w:tc>
        <w:tc>
          <w:tcPr>
            <w:tcW w:w="1701" w:type="dxa"/>
          </w:tcPr>
          <w:p w:rsidR="00345257" w:rsidRDefault="00345257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lastRenderedPageBreak/>
              <w:t>26</w:t>
            </w:r>
          </w:p>
        </w:tc>
      </w:tr>
      <w:tr w:rsidR="00647DE8" w:rsidRPr="00300929" w:rsidTr="009E2405">
        <w:trPr>
          <w:trHeight w:val="126"/>
        </w:trPr>
        <w:tc>
          <w:tcPr>
            <w:tcW w:w="709" w:type="dxa"/>
          </w:tcPr>
          <w:p w:rsidR="00647DE8" w:rsidRDefault="00647DE8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Pr="00345257" w:rsidRDefault="00647DE8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03.12.2020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Default="00647DE8" w:rsidP="00647DE8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  <w:r>
              <w:rPr>
                <w:rFonts w:ascii="PT Astra Serif" w:eastAsia="Batang" w:hAnsi="PT Astra Serif"/>
                <w:lang w:eastAsia="en-US"/>
              </w:rPr>
              <w:t>.</w:t>
            </w:r>
          </w:p>
          <w:p w:rsidR="00647DE8" w:rsidRPr="00647DE8" w:rsidRDefault="00647DE8" w:rsidP="00647DE8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647DE8">
              <w:rPr>
                <w:rFonts w:ascii="PT Astra Serif" w:eastAsia="Batang" w:hAnsi="PT Astra Serif"/>
                <w:lang w:eastAsia="en-US"/>
              </w:rPr>
              <w:t xml:space="preserve">Порядок применения типового контракта на </w:t>
            </w:r>
            <w:r w:rsidRPr="00647DE8">
              <w:rPr>
                <w:rFonts w:ascii="PT Astra Serif" w:eastAsia="Batang" w:hAnsi="PT Astra Serif"/>
                <w:bCs/>
                <w:lang w:eastAsia="en-US"/>
              </w:rPr>
              <w:t xml:space="preserve">оказание услуг по диагностике, техническому обслуживанию и ремонту автотранспортных средств. Приказ </w:t>
            </w:r>
            <w:proofErr w:type="spellStart"/>
            <w:r w:rsidRPr="00647DE8">
              <w:rPr>
                <w:rFonts w:ascii="PT Astra Serif" w:eastAsia="Batang" w:hAnsi="PT Astra Serif"/>
                <w:bCs/>
                <w:lang w:eastAsia="en-US"/>
              </w:rPr>
              <w:t>Минпромторга</w:t>
            </w:r>
            <w:proofErr w:type="spellEnd"/>
            <w:r w:rsidRPr="00647DE8">
              <w:rPr>
                <w:rFonts w:ascii="PT Astra Serif" w:eastAsia="Batang" w:hAnsi="PT Astra Serif"/>
                <w:bCs/>
                <w:lang w:eastAsia="en-US"/>
              </w:rPr>
              <w:t xml:space="preserve"> России от 07.04.2020 № 1152 «Об утверждении типового контракта на оказание услуг выставочной и ярмарочной деятельности, типового контракта на оказание услуг по диагностике, техническому обслуживанию и ремонту автотранспортных средств, типового контракта на поставку продукции радиоэлектронной промышленности, судостроительной промышленности, авиационной техники, средств автотранспортных, оборудования для измерения, испытаний</w:t>
            </w:r>
            <w:r w:rsidRPr="00647DE8">
              <w:rPr>
                <w:rFonts w:ascii="PT Astra Serif" w:eastAsia="Batang" w:hAnsi="PT Astra Serif"/>
                <w:lang w:eastAsia="en-US"/>
              </w:rPr>
              <w:t xml:space="preserve"> и навигации, бумаги, картона, мебели для офисов и предприятий торговли, оборудования электрического осветительного, оборудования промышленного холодильного и вентиляционного, информационных карт данных типовых контрактов».</w:t>
            </w:r>
          </w:p>
        </w:tc>
        <w:tc>
          <w:tcPr>
            <w:tcW w:w="1701" w:type="dxa"/>
          </w:tcPr>
          <w:p w:rsidR="00647DE8" w:rsidRDefault="00B905B1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</w:tr>
      <w:tr w:rsidR="00647DE8" w:rsidRPr="00300929" w:rsidTr="009E2405">
        <w:trPr>
          <w:trHeight w:val="126"/>
        </w:trPr>
        <w:tc>
          <w:tcPr>
            <w:tcW w:w="709" w:type="dxa"/>
          </w:tcPr>
          <w:p w:rsidR="00647DE8" w:rsidRDefault="00647DE8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Pr="00345257" w:rsidRDefault="00647DE8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08.12.2020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Default="00B905B1" w:rsidP="00345257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Совместный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Агентства и электронного университета Сбербанк-АСТ</w:t>
            </w:r>
          </w:p>
          <w:p w:rsidR="00B905B1" w:rsidRPr="00B905B1" w:rsidRDefault="00B905B1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b/>
                <w:lang w:eastAsia="en-US"/>
              </w:rPr>
            </w:pPr>
            <w:r w:rsidRPr="00B905B1">
              <w:rPr>
                <w:rStyle w:val="af6"/>
                <w:b w:val="0"/>
                <w:sz w:val="22"/>
                <w:szCs w:val="22"/>
              </w:rPr>
              <w:t>Специфика проведения государственных закупок в 2020 году. Перспективы развития контрактной системы на 2021 год.</w:t>
            </w:r>
          </w:p>
        </w:tc>
        <w:tc>
          <w:tcPr>
            <w:tcW w:w="1701" w:type="dxa"/>
          </w:tcPr>
          <w:p w:rsidR="00647DE8" w:rsidRDefault="00B905B1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215</w:t>
            </w:r>
          </w:p>
        </w:tc>
      </w:tr>
      <w:tr w:rsidR="00647DE8" w:rsidRPr="00300929" w:rsidTr="009E2405">
        <w:trPr>
          <w:trHeight w:val="126"/>
        </w:trPr>
        <w:tc>
          <w:tcPr>
            <w:tcW w:w="709" w:type="dxa"/>
          </w:tcPr>
          <w:p w:rsidR="00647DE8" w:rsidRDefault="00647DE8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Pr="00345257" w:rsidRDefault="00647DE8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11.12.2020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Default="00B905B1" w:rsidP="00345257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ЭТП ГПБ</w:t>
            </w:r>
          </w:p>
          <w:p w:rsidR="00B905B1" w:rsidRPr="00345257" w:rsidRDefault="00B905B1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B905B1">
              <w:rPr>
                <w:rFonts w:ascii="PT Astra Serif" w:eastAsia="Batang" w:hAnsi="PT Astra Serif"/>
                <w:lang w:eastAsia="en-US"/>
              </w:rPr>
              <w:t>Контрактная система – 2020, всё лучшее за год!</w:t>
            </w:r>
          </w:p>
        </w:tc>
        <w:tc>
          <w:tcPr>
            <w:tcW w:w="1701" w:type="dxa"/>
          </w:tcPr>
          <w:p w:rsidR="00647DE8" w:rsidRDefault="00B905B1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</w:tr>
      <w:tr w:rsidR="00647DE8" w:rsidRPr="00300929" w:rsidTr="009E2405">
        <w:trPr>
          <w:trHeight w:val="126"/>
        </w:trPr>
        <w:tc>
          <w:tcPr>
            <w:tcW w:w="709" w:type="dxa"/>
          </w:tcPr>
          <w:p w:rsidR="00647DE8" w:rsidRDefault="00647DE8" w:rsidP="00345257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DE8" w:rsidRPr="00345257" w:rsidRDefault="00647DE8" w:rsidP="00345257">
            <w:pPr>
              <w:pStyle w:val="af"/>
              <w:spacing w:before="0" w:beforeAutospacing="0" w:after="0" w:afterAutospacing="0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15.12.2020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5B1" w:rsidRDefault="00B905B1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proofErr w:type="spellStart"/>
            <w:r>
              <w:rPr>
                <w:rFonts w:ascii="PT Astra Serif" w:eastAsia="Batang" w:hAnsi="PT Astra Serif"/>
                <w:lang w:eastAsia="en-US"/>
              </w:rPr>
              <w:t>Вебинар</w:t>
            </w:r>
            <w:proofErr w:type="spellEnd"/>
          </w:p>
          <w:p w:rsidR="00647DE8" w:rsidRPr="00345257" w:rsidRDefault="00B905B1" w:rsidP="0034525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B905B1">
              <w:rPr>
                <w:rFonts w:ascii="PT Astra Serif" w:eastAsia="Batang" w:hAnsi="PT Astra Serif"/>
                <w:lang w:eastAsia="en-US"/>
              </w:rPr>
              <w:t>Основы планирования закупок товаров, работ, услуг на 2021 год.</w:t>
            </w:r>
          </w:p>
        </w:tc>
        <w:tc>
          <w:tcPr>
            <w:tcW w:w="1701" w:type="dxa"/>
          </w:tcPr>
          <w:p w:rsidR="00647DE8" w:rsidRDefault="00B905B1" w:rsidP="00345257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103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300929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300929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300929" w:rsidRDefault="00B905B1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1131</w:t>
            </w:r>
          </w:p>
        </w:tc>
      </w:tr>
    </w:tbl>
    <w:p w:rsidR="00300929" w:rsidRDefault="00300929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6664" w:rsidRDefault="00166664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РИС «АЦК-Госзаказ» в соответствии с Р</w:t>
      </w:r>
      <w:r w:rsidRPr="00DD3497">
        <w:rPr>
          <w:rFonts w:ascii="PT Astra Serif" w:hAnsi="PT Astra Serif"/>
          <w:sz w:val="28"/>
          <w:szCs w:val="28"/>
        </w:rPr>
        <w:t>егламент</w:t>
      </w:r>
      <w:r>
        <w:rPr>
          <w:rFonts w:ascii="PT Astra Serif" w:hAnsi="PT Astra Serif"/>
          <w:sz w:val="28"/>
          <w:szCs w:val="28"/>
        </w:rPr>
        <w:t>ом</w:t>
      </w:r>
      <w:r w:rsidR="009E24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DD3497">
        <w:rPr>
          <w:rFonts w:ascii="PT Astra Serif" w:hAnsi="PT Astra Serif"/>
          <w:sz w:val="28"/>
          <w:szCs w:val="28"/>
        </w:rPr>
        <w:t>бработки обращений пользователей</w:t>
      </w:r>
      <w:r>
        <w:rPr>
          <w:rFonts w:ascii="PT Astra Serif" w:hAnsi="PT Astra Serif"/>
          <w:sz w:val="28"/>
          <w:szCs w:val="28"/>
        </w:rPr>
        <w:t xml:space="preserve"> от 28.02.2019</w:t>
      </w:r>
      <w:r w:rsidR="00F958E9">
        <w:rPr>
          <w:rFonts w:ascii="PT Astra Serif" w:hAnsi="PT Astra Serif"/>
          <w:sz w:val="28"/>
          <w:szCs w:val="28"/>
        </w:rPr>
        <w:t xml:space="preserve">,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701"/>
        <w:gridCol w:w="1843"/>
      </w:tblGrid>
      <w:tr w:rsidR="00BD7F5C" w:rsidRPr="008516EF" w:rsidTr="00E7346B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личных приёмов </w:t>
            </w:r>
            <w:r w:rsidRPr="008516E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D7F5C" w:rsidRPr="008516EF" w:rsidTr="00E7346B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FF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FF" w:rsidRPr="008516EF" w:rsidRDefault="005D5EFF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62501" w:rsidRPr="008516E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C5E79" w:rsidRPr="0085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26EF3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F30CD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6C6E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A6D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B93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713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713" w:rsidRPr="008516EF" w:rsidRDefault="00032D89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DB27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DB27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032D89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Pr="008516EF" w:rsidRDefault="00032D8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929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29" w:rsidRDefault="00300929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9" w:rsidRDefault="0030092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DA6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Default="00C67DA6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E37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313E37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6D01B5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6D01B5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313E37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E37" w:rsidRDefault="00313E3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15D7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15D7" w:rsidRDefault="000215D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5B1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B1" w:rsidRDefault="00B905B1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B1" w:rsidRDefault="00B905B1" w:rsidP="006B30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6B3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B1" w:rsidRDefault="00BE741D" w:rsidP="006B30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30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B1" w:rsidRDefault="00BE741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05B1" w:rsidRDefault="00B905B1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0CD" w:rsidRPr="008516EF" w:rsidTr="006D71B5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BE741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BE741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BE741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166664" w:rsidRDefault="00166664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166664" w:rsidRDefault="00166664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lastRenderedPageBreak/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B52CC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CB313B" w:rsidRPr="00CB313B">
        <w:rPr>
          <w:rFonts w:ascii="PT Astra Serif" w:hAnsi="PT Astra Serif"/>
          <w:color w:val="000000"/>
          <w:sz w:val="28"/>
          <w:szCs w:val="28"/>
        </w:rPr>
        <w:t>4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CB313B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Таблица 4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59"/>
        <w:gridCol w:w="1743"/>
        <w:gridCol w:w="1286"/>
        <w:gridCol w:w="1451"/>
        <w:gridCol w:w="1843"/>
      </w:tblGrid>
      <w:tr w:rsidR="007909B1" w:rsidRPr="008516EF" w:rsidTr="00C67D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C67DA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C67DA6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450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738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Февраль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79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371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Март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1138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518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421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1836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Апрель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376EEE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376EEE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468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381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1814</w:t>
            </w:r>
          </w:p>
        </w:tc>
      </w:tr>
      <w:tr w:rsidR="007909B1" w:rsidRPr="008516EF" w:rsidTr="00C67DA6">
        <w:trPr>
          <w:trHeight w:val="2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Default="007909B1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Май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376EE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</w:t>
            </w:r>
            <w:r w:rsidR="00376EE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949</w:t>
            </w:r>
          </w:p>
        </w:tc>
      </w:tr>
      <w:tr w:rsidR="00132FFB" w:rsidRPr="008516EF" w:rsidTr="00C67DA6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Default="00132FFB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Июнь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376EE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35</w:t>
            </w:r>
            <w:r w:rsidR="00376EE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1036</w:t>
            </w:r>
          </w:p>
        </w:tc>
      </w:tr>
      <w:tr w:rsidR="00AE161D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Default="00AE161D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Июль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1008</w:t>
            </w:r>
          </w:p>
        </w:tc>
      </w:tr>
      <w:tr w:rsidR="000015EC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Default="000015EC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Август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612</w:t>
            </w:r>
          </w:p>
        </w:tc>
      </w:tr>
      <w:tr w:rsidR="00C67DA6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A6" w:rsidRDefault="00C67DA6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Сентябрь 2020</w:t>
            </w:r>
          </w:p>
          <w:p w:rsidR="00C67DA6" w:rsidRPr="006D71B5" w:rsidRDefault="00C67DA6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385</w:t>
            </w:r>
          </w:p>
        </w:tc>
      </w:tr>
      <w:tr w:rsidR="006D01B5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5" w:rsidRDefault="006D01B5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Октябрь 2020</w:t>
            </w:r>
          </w:p>
          <w:p w:rsidR="006D01B5" w:rsidRDefault="006D01B5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460</w:t>
            </w:r>
          </w:p>
        </w:tc>
      </w:tr>
      <w:tr w:rsidR="000215D7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D7" w:rsidRDefault="000215D7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Ноябрь 2020</w:t>
            </w:r>
          </w:p>
          <w:p w:rsidR="000215D7" w:rsidRDefault="000215D7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5D7" w:rsidRDefault="000215D7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583</w:t>
            </w:r>
          </w:p>
        </w:tc>
      </w:tr>
      <w:tr w:rsidR="006B305A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5A" w:rsidRDefault="006B305A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Декабрь 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5A" w:rsidRDefault="006B305A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516</w:t>
            </w:r>
          </w:p>
          <w:p w:rsidR="006B305A" w:rsidRDefault="006B305A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5A" w:rsidRDefault="00376EEE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5A" w:rsidRDefault="00376EEE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5A" w:rsidRDefault="00376EEE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5A" w:rsidRDefault="00376EEE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781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B5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376EEE" w:rsidP="006D0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376EEE" w:rsidP="006D0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0215D7" w:rsidP="00376E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  <w:r w:rsidR="00376E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0215D7" w:rsidP="00376E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</w:t>
            </w:r>
            <w:r w:rsidR="00376E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376EEE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10573</w:t>
            </w:r>
          </w:p>
        </w:tc>
      </w:tr>
    </w:tbl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26E6A" w:rsidRDefault="00626E6A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26E6A" w:rsidRDefault="00626E6A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были проведены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523AA5" w:rsidP="003331B3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18E2"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 w:rsidRPr="004C18E2"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 w:rsidRPr="004C18E2">
        <w:rPr>
          <w:rFonts w:ascii="PT Astra Serif" w:hAnsi="PT Astra Serif"/>
          <w:b/>
          <w:sz w:val="28"/>
          <w:szCs w:val="28"/>
        </w:rPr>
        <w:t xml:space="preserve"> в сфере закупок.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Внедрение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осуществлен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целях обучения государственных заказчиков самостоятельному осуществлению закупок с НМЦК до 50 тыс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яч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рублей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(с 01.07.2020 года – до 300 тысяч рублей)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работе в системе АЦК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Госзаказ посредством электронного документооборота проведены: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выездные обучающие семинары для отраслей образования и здравоохранения, а также подведомственной сети Министерства семейной, демографической политики и социального благополучия Ульяновской области;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обучающие занятия в рамках работы проекта «Школа заказчика».</w:t>
      </w:r>
    </w:p>
    <w:p w:rsidR="00B43A2E" w:rsidRPr="004C18E2" w:rsidRDefault="007617AD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b/>
          <w:color w:val="000000"/>
          <w:sz w:val="28"/>
          <w:szCs w:val="28"/>
        </w:rPr>
        <w:t xml:space="preserve">1.2. </w:t>
      </w:r>
      <w:r w:rsidR="00B43A2E" w:rsidRPr="004C18E2">
        <w:rPr>
          <w:rFonts w:ascii="PT Astra Serif" w:hAnsi="PT Astra Serif"/>
          <w:b/>
          <w:color w:val="000000"/>
          <w:sz w:val="28"/>
          <w:szCs w:val="28"/>
        </w:rPr>
        <w:t xml:space="preserve">Интеграция РИС </w:t>
      </w:r>
      <w:r w:rsidR="00B43A2E" w:rsidRPr="004C18E2">
        <w:rPr>
          <w:rFonts w:ascii="PT Astra Serif" w:hAnsi="PT Astra Serif"/>
          <w:b/>
          <w:sz w:val="28"/>
          <w:szCs w:val="28"/>
        </w:rPr>
        <w:t>АЦК-Госзаказ и единой медицинской информационной системы Ульяновской области</w:t>
      </w:r>
      <w:r w:rsidR="00B43A2E" w:rsidRPr="004C18E2">
        <w:rPr>
          <w:rFonts w:ascii="PT Astra Serif" w:hAnsi="PT Astra Serif"/>
          <w:sz w:val="28"/>
          <w:szCs w:val="28"/>
        </w:rPr>
        <w:t xml:space="preserve"> (далее – МИС)</w:t>
      </w:r>
    </w:p>
    <w:p w:rsidR="00B43A2E" w:rsidRPr="004C18E2" w:rsidRDefault="00B43A2E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18E2">
        <w:rPr>
          <w:rFonts w:ascii="PT Astra Serif" w:hAnsi="PT Astra Serif"/>
          <w:sz w:val="28"/>
          <w:szCs w:val="28"/>
        </w:rPr>
        <w:t>В целях комплексной информатизации процесса закупок для бесперебойного обеспечения медицинских учреждений региона лекарственными препаратами и медицинскими изделиями осуществляется работа по интеграции РИС АЦК-Госзаказ с МИС, обеспечивающей возможность контроля, мониторинга текущих операций и их статусов, а также прозрачность и управляемость закупочных процессов.</w:t>
      </w:r>
    </w:p>
    <w:p w:rsidR="00A57121" w:rsidRPr="00A57121" w:rsidRDefault="00A57121" w:rsidP="003501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</w:p>
    <w:p w:rsidR="00350184" w:rsidRDefault="00A5712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AF3B54"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Осуществление постоянного взаимодействия с федеральным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орган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ами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закупок</w:t>
      </w:r>
    </w:p>
    <w:p w:rsidR="00AF3B5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AF3B54"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350184" w:rsidRPr="0035018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>- в целях формирования</w:t>
      </w:r>
      <w:r>
        <w:rPr>
          <w:rFonts w:ascii="PT Astra Serif" w:hAnsi="PT Astra Serif"/>
          <w:sz w:val="28"/>
          <w:szCs w:val="28"/>
        </w:rPr>
        <w:t xml:space="preserve"> предложений по нормативному регулированию закупок малого объема направлена заполненная анкета по осуществлению закупок малого объема от Ульяновской области (письмо от 23.01.2020 </w:t>
      </w:r>
      <w:r>
        <w:rPr>
          <w:rFonts w:ascii="PT Astra Serif" w:hAnsi="PT Astra Serif"/>
          <w:sz w:val="28"/>
          <w:szCs w:val="28"/>
        </w:rPr>
        <w:br/>
        <w:t>№ 73-ИОГВ-03-05/20 исх.)</w:t>
      </w:r>
      <w:r w:rsidR="00031E14">
        <w:rPr>
          <w:rFonts w:ascii="PT Astra Serif" w:hAnsi="PT Astra Serif"/>
          <w:sz w:val="28"/>
          <w:szCs w:val="28"/>
        </w:rPr>
        <w:t>;</w:t>
      </w:r>
    </w:p>
    <w:p w:rsidR="00350184" w:rsidRPr="0035018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-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31.01.2020 принято участие (в дистанционной форме) в видеоконференции по обсуждению нормативного регу</w:t>
      </w:r>
      <w:r w:rsidR="00031E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лирования закупок малого объема;</w:t>
      </w:r>
    </w:p>
    <w:p w:rsidR="00350184" w:rsidRDefault="00031E1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- 26.02.2020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 в видеоконференции по обсуждению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механизма расчета началь</w:t>
      </w:r>
      <w:r w:rsidR="0051192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ных максимальных цен контрактов;</w:t>
      </w:r>
    </w:p>
    <w:p w:rsidR="003331B3" w:rsidRDefault="00511920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- 03.03.2020 направлены д</w:t>
      </w:r>
      <w:r w:rsidRPr="0051192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анные по Ульяновской области для расчета Рейтинга эффективности и прозрачности закупочных систем регионов РФ за 2019 финансовый год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2F3A58">
        <w:rPr>
          <w:rFonts w:ascii="PT Astra Serif" w:hAnsi="PT Astra Serif"/>
          <w:sz w:val="28"/>
          <w:szCs w:val="28"/>
        </w:rPr>
        <w:t>(письмо от 03.03.2020 № 73-ИОГВ-03-05/150 исх.)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511920" w:rsidRDefault="00511920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- 19.03.2020 направлены</w:t>
      </w:r>
      <w:r w:rsidR="00E3063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Анкеты от Ульяновской области по вопросу механизма расчета начальных (максимальных) цен контракта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2F3A58">
        <w:rPr>
          <w:rFonts w:ascii="PT Astra Serif" w:hAnsi="PT Astra Serif"/>
          <w:sz w:val="28"/>
          <w:szCs w:val="28"/>
        </w:rPr>
        <w:t>(письмо от 19.03.2020 № 73-ИОГВ-03-05/262 исх.)</w:t>
      </w:r>
      <w:r w:rsidR="000A76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BE4A0A" w:rsidRDefault="00BE4A0A" w:rsidP="00BE4A0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- 28.04.2020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видеоконференции по обсуждению</w:t>
      </w:r>
      <w:r w:rsidR="009E240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свода предложений </w:t>
      </w:r>
      <w:r w:rsidRPr="00BE4A0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совершенствованию законодательства и подзаконных нормативных прав</w:t>
      </w:r>
      <w:r w:rsidR="000A76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овых актов в части расчета НМЦК;</w:t>
      </w:r>
    </w:p>
    <w:p w:rsidR="000A7693" w:rsidRPr="008B046F" w:rsidRDefault="000A7693" w:rsidP="000A769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15.05.2020 направлена Анкета от Ульяновской области по вопросу </w:t>
      </w:r>
      <w:r w:rsidRPr="008B046F">
        <w:rPr>
          <w:rFonts w:ascii="PT Astra Serif" w:hAnsi="PT Astra Serif"/>
          <w:sz w:val="28"/>
          <w:szCs w:val="28"/>
        </w:rPr>
        <w:t xml:space="preserve">совершенствования законодательства и нормативных правовых актов в части определения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начальных (максимальных) цен контракта (от 15.05.2020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№73-ИОГВ-21/10 исх.);</w:t>
      </w:r>
    </w:p>
    <w:p w:rsidR="000A7693" w:rsidRPr="008B046F" w:rsidRDefault="000A7693" w:rsidP="000A769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- 19.05.2020 года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Заседании Экспертного совета регионов по развитию контрактной системы по вопросам обсуждения механизма расчёта начальных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максимальных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цен контрактов, а также предложений регионов по совершенствованию законодательства и подзаконных нормативных правовых актов в части расчёта НМЦК;</w:t>
      </w:r>
    </w:p>
    <w:p w:rsidR="000A7693" w:rsidRPr="008B046F" w:rsidRDefault="000A7693" w:rsidP="000A769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.2020 года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Заседании Экспертного совета регионов по развитию контрактной системы по вопрос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</w:t>
      </w:r>
      <w:r w:rsidR="009E240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дальнейшего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обсуждения механизма расчёта начальных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максимальных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контрактов.</w:t>
      </w:r>
    </w:p>
    <w:p w:rsidR="006134AA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.07.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2020 года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церемони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подведения итогов Рейтинга эффективности и прозрачности закупочных систем регионов РФ за 2019 год (далее – Рейтинг).</w:t>
      </w:r>
    </w:p>
    <w:p w:rsidR="006134AA" w:rsidRPr="0065323C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Ульяновская область стала лидером Рейтинга по показателю «Оценка организационной структуры закупок региона», а также достигла высших и высоких результатов по показателям «Оценка информационной инфраструктуры закупок региона», «Нормативная база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государственных закупок».</w:t>
      </w:r>
    </w:p>
    <w:p w:rsidR="006134AA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Муниципальные образования Ульяновской области в Рейтинге муниципальных закупок также достигли высших и высоких результатов по показателям.</w:t>
      </w:r>
    </w:p>
    <w:p w:rsidR="00626E6A" w:rsidRPr="00626E6A" w:rsidRDefault="00166664" w:rsidP="00626E6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- </w:t>
      </w:r>
      <w:r w:rsidR="00626E6A" w:rsidRPr="000C4FA9">
        <w:rPr>
          <w:rFonts w:ascii="PT Astra Serif" w:hAnsi="PT Astra Serif"/>
          <w:color w:val="000000"/>
          <w:sz w:val="28"/>
          <w:szCs w:val="28"/>
        </w:rPr>
        <w:t xml:space="preserve">11.12.2020 принято участие </w:t>
      </w:r>
      <w:r w:rsidR="00626E6A" w:rsidRPr="000C4F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режиме видеоконференцсвязи </w:t>
      </w:r>
      <w:r w:rsidR="00626E6A" w:rsidRPr="000C4FA9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26E6A"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итогово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="00626E6A"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заседани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626E6A"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Экспертного совета регионов по развитию контрактной системы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«ГОС»</w:t>
      </w:r>
      <w:r w:rsidR="00626E6A"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9E2650" w:rsidRDefault="00626E6A" w:rsidP="00626E6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были подведены итоги работы за 2020 год, намечены планы на будущий год, а также заслушаны региональные практики в сфере закупок.</w:t>
      </w:r>
      <w:r w:rsidR="009E265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мероприятии приняли участие представители федеральных регуляторов Контрактной системы, уполн</w:t>
      </w:r>
      <w:r w:rsidR="009E265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омоченных органов субъектов РФ.</w:t>
      </w:r>
    </w:p>
    <w:p w:rsidR="00626E6A" w:rsidRPr="00626E6A" w:rsidRDefault="00626E6A" w:rsidP="00626E6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Практика от Ульяновской области «Формирование лотов при закупках продуктов питания» была успешно представлена на рассмотрение членам Экспертного совета и включена в Реестр передовых практик реализации норм законодательства в сфере осуществления закупок.</w:t>
      </w:r>
    </w:p>
    <w:p w:rsidR="00F9093C" w:rsidRDefault="00626E6A" w:rsidP="00626E6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6E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Данный Реестр является уникальным в России информационным ресурсом, содержащим достижения в организации закупочных процессов в субъектах РФ, и призван служить средством организации обмена передовым опытом и методологическими разработками, механизмом формирования эффективных систем закупок.</w:t>
      </w:r>
    </w:p>
    <w:p w:rsidR="00166664" w:rsidRPr="0065323C" w:rsidRDefault="00166664" w:rsidP="00626E6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9E2405" w:rsidRPr="009F725E" w:rsidRDefault="009E2405" w:rsidP="00F9093C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2.2. Взаимодействие с организационным комитетом «Национальный рейтинг прозрачности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9E2405" w:rsidRDefault="00F9093C" w:rsidP="00F909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E2405">
        <w:rPr>
          <w:rFonts w:ascii="PT Astra Serif" w:hAnsi="PT Astra Serif"/>
          <w:sz w:val="28"/>
          <w:szCs w:val="28"/>
        </w:rPr>
        <w:t>01.09</w:t>
      </w:r>
      <w:r w:rsidR="009E2405" w:rsidRPr="002123AE">
        <w:rPr>
          <w:rFonts w:ascii="PT Astra Serif" w:hAnsi="PT Astra Serif"/>
          <w:sz w:val="28"/>
          <w:szCs w:val="28"/>
        </w:rPr>
        <w:t>.20</w:t>
      </w:r>
      <w:r w:rsidR="009E2405">
        <w:rPr>
          <w:rFonts w:ascii="PT Astra Serif" w:hAnsi="PT Astra Serif"/>
          <w:sz w:val="28"/>
          <w:szCs w:val="28"/>
        </w:rPr>
        <w:t>20</w:t>
      </w:r>
      <w:r w:rsidR="009E2405" w:rsidRPr="002123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подготовлены и </w:t>
      </w:r>
      <w:r w:rsidR="009E2405" w:rsidRPr="002123AE">
        <w:rPr>
          <w:rFonts w:ascii="PT Astra Serif" w:hAnsi="PT Astra Serif"/>
          <w:sz w:val="28"/>
          <w:szCs w:val="28"/>
        </w:rPr>
        <w:t>направлены сведения от Ульяновской области для расчета Национального рейтинга прозрачности закупок 20</w:t>
      </w:r>
      <w:r w:rsidR="009E2405">
        <w:rPr>
          <w:rFonts w:ascii="PT Astra Serif" w:hAnsi="PT Astra Serif"/>
          <w:sz w:val="28"/>
          <w:szCs w:val="28"/>
        </w:rPr>
        <w:t>20</w:t>
      </w:r>
      <w:r w:rsidR="009E2405" w:rsidRPr="002123AE">
        <w:rPr>
          <w:rFonts w:ascii="PT Astra Serif" w:hAnsi="PT Astra Serif"/>
          <w:sz w:val="28"/>
          <w:szCs w:val="28"/>
        </w:rPr>
        <w:t>.</w:t>
      </w:r>
    </w:p>
    <w:p w:rsidR="009E2405" w:rsidRPr="007F3C63" w:rsidRDefault="00F9093C" w:rsidP="00F909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E2405" w:rsidRPr="007F3C63">
        <w:rPr>
          <w:rFonts w:ascii="PT Astra Serif" w:hAnsi="PT Astra Serif"/>
          <w:sz w:val="28"/>
          <w:szCs w:val="28"/>
        </w:rPr>
        <w:t>16.</w:t>
      </w:r>
      <w:r w:rsidR="009E2405">
        <w:rPr>
          <w:rFonts w:ascii="PT Astra Serif" w:hAnsi="PT Astra Serif"/>
          <w:sz w:val="28"/>
          <w:szCs w:val="28"/>
        </w:rPr>
        <w:t>12</w:t>
      </w:r>
      <w:r w:rsidR="009E2405" w:rsidRPr="007F3C63">
        <w:rPr>
          <w:rFonts w:ascii="PT Astra Serif" w:hAnsi="PT Astra Serif"/>
          <w:sz w:val="28"/>
          <w:szCs w:val="28"/>
        </w:rPr>
        <w:t>.20</w:t>
      </w:r>
      <w:r w:rsidR="009E2405">
        <w:rPr>
          <w:rFonts w:ascii="PT Astra Serif" w:hAnsi="PT Astra Serif"/>
          <w:sz w:val="28"/>
          <w:szCs w:val="28"/>
        </w:rPr>
        <w:t>20</w:t>
      </w:r>
      <w:r w:rsidR="009E2405" w:rsidRPr="007F3C63">
        <w:rPr>
          <w:rFonts w:ascii="PT Astra Serif" w:hAnsi="PT Astra Serif"/>
          <w:sz w:val="28"/>
          <w:szCs w:val="28"/>
        </w:rPr>
        <w:t xml:space="preserve"> в рамках Ежегодной церемонии подведения итогов проекта «Национальный рейтинг прозрачности закупок 20</w:t>
      </w:r>
      <w:r w:rsidR="009E2405">
        <w:rPr>
          <w:rFonts w:ascii="PT Astra Serif" w:hAnsi="PT Astra Serif"/>
          <w:sz w:val="28"/>
          <w:szCs w:val="28"/>
        </w:rPr>
        <w:t>20</w:t>
      </w:r>
      <w:r w:rsidR="009E2405" w:rsidRPr="007F3C63">
        <w:rPr>
          <w:rFonts w:ascii="PT Astra Serif" w:hAnsi="PT Astra Serif"/>
          <w:sz w:val="28"/>
          <w:szCs w:val="28"/>
        </w:rPr>
        <w:t>» Ульяновская область</w:t>
      </w:r>
      <w:r w:rsidR="009E2405">
        <w:rPr>
          <w:rFonts w:ascii="PT Astra Serif" w:hAnsi="PT Astra Serif"/>
          <w:sz w:val="28"/>
          <w:szCs w:val="28"/>
        </w:rPr>
        <w:t xml:space="preserve"> в региональном сегменте </w:t>
      </w:r>
      <w:r w:rsidR="009E2405" w:rsidRPr="007F3C63">
        <w:rPr>
          <w:rFonts w:ascii="PT Astra Serif" w:hAnsi="PT Astra Serif"/>
          <w:sz w:val="28"/>
          <w:szCs w:val="28"/>
        </w:rPr>
        <w:t xml:space="preserve">награждена дипломом </w:t>
      </w:r>
      <w:r w:rsidR="009E2405">
        <w:rPr>
          <w:rFonts w:ascii="PT Astra Serif" w:hAnsi="PT Astra Serif"/>
          <w:sz w:val="28"/>
          <w:szCs w:val="28"/>
        </w:rPr>
        <w:t xml:space="preserve">за </w:t>
      </w:r>
      <w:r w:rsidR="009E2405" w:rsidRPr="007F3C63">
        <w:rPr>
          <w:rFonts w:ascii="PT Astra Serif" w:hAnsi="PT Astra Serif"/>
          <w:sz w:val="28"/>
          <w:szCs w:val="28"/>
        </w:rPr>
        <w:t>Высок</w:t>
      </w:r>
      <w:r w:rsidR="009E2405">
        <w:rPr>
          <w:rFonts w:ascii="PT Astra Serif" w:hAnsi="PT Astra Serif"/>
          <w:sz w:val="28"/>
          <w:szCs w:val="28"/>
        </w:rPr>
        <w:t>ую</w:t>
      </w:r>
      <w:r w:rsidR="009E2405" w:rsidRPr="007F3C63">
        <w:rPr>
          <w:rFonts w:ascii="PT Astra Serif" w:hAnsi="PT Astra Serif"/>
          <w:sz w:val="28"/>
          <w:szCs w:val="28"/>
        </w:rPr>
        <w:t xml:space="preserve"> прозрачность, что свидетельствует о создани</w:t>
      </w:r>
      <w:r w:rsidR="009E2405">
        <w:rPr>
          <w:rFonts w:ascii="PT Astra Serif" w:hAnsi="PT Astra Serif"/>
          <w:sz w:val="28"/>
          <w:szCs w:val="28"/>
        </w:rPr>
        <w:t>и</w:t>
      </w:r>
      <w:r w:rsidR="009E2405" w:rsidRPr="007F3C63">
        <w:rPr>
          <w:rFonts w:ascii="PT Astra Serif" w:hAnsi="PT Astra Serif"/>
          <w:sz w:val="28"/>
          <w:szCs w:val="28"/>
        </w:rPr>
        <w:t xml:space="preserve"> в регионе понятной и конкурентной системы выбора поставщика для осуществления гос</w:t>
      </w:r>
      <w:r w:rsidR="009E2405">
        <w:rPr>
          <w:rFonts w:ascii="PT Astra Serif" w:hAnsi="PT Astra Serif"/>
          <w:sz w:val="28"/>
          <w:szCs w:val="28"/>
        </w:rPr>
        <w:t xml:space="preserve">ударственных </w:t>
      </w:r>
      <w:r w:rsidR="009E2405" w:rsidRPr="007F3C63">
        <w:rPr>
          <w:rFonts w:ascii="PT Astra Serif" w:hAnsi="PT Astra Serif"/>
          <w:sz w:val="28"/>
          <w:szCs w:val="28"/>
        </w:rPr>
        <w:t>закупок.</w:t>
      </w:r>
    </w:p>
    <w:p w:rsidR="00BE4A0A" w:rsidRDefault="00BE4A0A" w:rsidP="00BE4A0A">
      <w:pPr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3331B3" w:rsidRDefault="00031E14" w:rsidP="003331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031E14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Участие </w:t>
      </w:r>
      <w:r w:rsidR="003331B3">
        <w:rPr>
          <w:rFonts w:ascii="PT Astra Serif" w:hAnsi="PT Astra Serif"/>
          <w:b/>
          <w:sz w:val="28"/>
          <w:szCs w:val="28"/>
          <w:shd w:val="clear" w:color="auto" w:fill="FFFFFF"/>
        </w:rPr>
        <w:t>в региональных мероприятиях по вопросам осуществления закупок</w:t>
      </w:r>
    </w:p>
    <w:p w:rsidR="00031E14" w:rsidRPr="00031E14" w:rsidRDefault="003331B3" w:rsidP="00993AF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Участие </w:t>
      </w:r>
      <w:r w:rsidR="00031E14" w:rsidRPr="00031E14">
        <w:rPr>
          <w:rFonts w:ascii="PT Astra Serif" w:hAnsi="PT Astra Serif"/>
          <w:b/>
          <w:sz w:val="28"/>
          <w:szCs w:val="28"/>
          <w:shd w:val="clear" w:color="auto" w:fill="FFFFFF"/>
        </w:rPr>
        <w:t>в Неделях контрактных отношени</w:t>
      </w:r>
      <w:r w:rsidR="00694C5C">
        <w:rPr>
          <w:rFonts w:ascii="PT Astra Serif" w:hAnsi="PT Astra Serif"/>
          <w:b/>
          <w:sz w:val="28"/>
          <w:szCs w:val="28"/>
          <w:shd w:val="clear" w:color="auto" w:fill="FFFFFF"/>
        </w:rPr>
        <w:t>й и закупок Ульяновской области</w:t>
      </w:r>
    </w:p>
    <w:p w:rsidR="003331B3" w:rsidRDefault="00031E14" w:rsidP="00E7346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18-21.02.2020 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принято участие в организации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проведен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ии I Недели 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контрактных отношений и закупок Ульяновской области «Закупки в регионе: результаты, достижения, перспективные направления», в рамках которой про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шло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6 разноплановых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мероприятий. </w:t>
      </w:r>
    </w:p>
    <w:p w:rsidR="00031E14" w:rsidRPr="00154DD6" w:rsidRDefault="00031E14" w:rsidP="00E7346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Законодательного собрания Ульяновской области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контрольн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о-надзорных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органов, Ульяновской ТПП, </w:t>
      </w:r>
      <w:r w:rsid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исполнительны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х органов государственной власти и органов местного самоуправления </w:t>
      </w:r>
      <w:r w:rsid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Ульяновской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области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бизнес-сообщества, эксперты и общественные организации, а также Председатель правления Общероссийской общественной организации «Гильдия отечественных закупщиков и специалистов по закупкам и продажам», Лидия Никифорова (всего порядка 500 человек). По итогам проведенных мероприятий были намечены ключевые направления для 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развития системы закупок в регионе.</w:t>
      </w:r>
    </w:p>
    <w:p w:rsidR="000842DB" w:rsidRDefault="00993AF5" w:rsidP="00E7346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 по р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езультат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функционирования системы закупок Ульяновской области за 2019 год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результата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внедрения юридически значимого электронного документооборота </w:t>
      </w:r>
      <w:r w:rsidR="00CE7F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РИС «АЦК-Госзаказ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2E44B0" w:rsidRDefault="002E44B0" w:rsidP="002E44B0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- 25-28.08.2020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организ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ации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проведен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ии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I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I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контрактных отношений и закупок Ульяновской 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области «Трансформация контрактной системы. Куда движемся», в рамках которой было проведено 4 разноплановых мероприяти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2E44B0" w:rsidRPr="002E44B0" w:rsidRDefault="002E44B0" w:rsidP="002E44B0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контрольных, правоохранительных, налоговых органов, Ульяновской ТПП, ИОГВ, бизнес-сообщества,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также 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эксперты и общественные организации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(всего порядка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100 человек).</w:t>
      </w:r>
    </w:p>
    <w:p w:rsidR="00993AF5" w:rsidRPr="00993AF5" w:rsidRDefault="00993AF5" w:rsidP="00F9093C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Участие в прочих мероприятиях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законодательства о контрактной системе</w:t>
      </w:r>
    </w:p>
    <w:p w:rsidR="00E7346B" w:rsidRDefault="00993AF5" w:rsidP="00993A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46B">
        <w:rPr>
          <w:rFonts w:ascii="PT Astra Serif" w:eastAsia="Times New Roman" w:hAnsi="PT Astra Serif"/>
          <w:sz w:val="28"/>
          <w:szCs w:val="28"/>
          <w:lang w:eastAsia="ru-RU"/>
        </w:rPr>
        <w:t>- подготовлен</w:t>
      </w:r>
      <w:r w:rsidR="00E7346B" w:rsidRPr="00E7346B">
        <w:rPr>
          <w:rFonts w:ascii="PT Astra Serif" w:eastAsia="Times New Roman" w:hAnsi="PT Astra Serif"/>
          <w:sz w:val="28"/>
          <w:szCs w:val="28"/>
          <w:lang w:eastAsia="ru-RU"/>
        </w:rPr>
        <w:t>ы аналитические и презентационные материалы</w:t>
      </w:r>
      <w:r w:rsidR="009E240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по итогам рейтинга</w:t>
      </w:r>
      <w:r w:rsidR="009E240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сфере закупок муниципальных образований Ульяновской области за 2019 год</w:t>
      </w:r>
      <w:r w:rsidR="00E7346B">
        <w:rPr>
          <w:rFonts w:ascii="PT Astra Serif" w:hAnsi="PT Astra Serif"/>
          <w:sz w:val="28"/>
          <w:szCs w:val="28"/>
        </w:rPr>
        <w:t>, озвученного в рамках</w:t>
      </w:r>
      <w:r w:rsidR="009E2405">
        <w:rPr>
          <w:rFonts w:ascii="PT Astra Serif" w:hAnsi="PT Astra Serif"/>
          <w:sz w:val="28"/>
          <w:szCs w:val="28"/>
        </w:rPr>
        <w:t xml:space="preserve"> </w:t>
      </w:r>
      <w:r w:rsidR="00E7346B">
        <w:rPr>
          <w:rFonts w:ascii="PT Astra Serif" w:hAnsi="PT Astra Serif"/>
          <w:sz w:val="28"/>
          <w:szCs w:val="28"/>
        </w:rPr>
        <w:t>совещания на базе Ульяновской ТПП по теме: «Результаты I Недели контрактных отношений и закупок Ульяновской области. Задачи и перспектив</w:t>
      </w:r>
      <w:r w:rsidR="00F1231A">
        <w:rPr>
          <w:rFonts w:ascii="PT Astra Serif" w:hAnsi="PT Astra Serif"/>
          <w:sz w:val="28"/>
          <w:szCs w:val="28"/>
        </w:rPr>
        <w:t>ы»;</w:t>
      </w:r>
    </w:p>
    <w:p w:rsidR="00F1231A" w:rsidRDefault="00F1231A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346B">
        <w:rPr>
          <w:rFonts w:ascii="PT Astra Serif" w:eastAsia="Times New Roman" w:hAnsi="PT Astra Serif"/>
          <w:sz w:val="28"/>
          <w:szCs w:val="28"/>
          <w:lang w:eastAsia="ru-RU"/>
        </w:rPr>
        <w:t>подготовлены аналитические и презентационные материалы</w:t>
      </w:r>
      <w:r w:rsidR="006D01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по теме:</w:t>
      </w:r>
      <w:r w:rsidR="006D01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«Закупки в условиях пандемии. Особенности. Проблемы и решения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 в рамках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совещания по финансово-экономическим вопросам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(23.04.2020);</w:t>
      </w:r>
    </w:p>
    <w:p w:rsidR="00F1231A" w:rsidRDefault="00F1231A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работниками ОГКУ «Центр по сопровождению закупок» пройдено обучение по программе дополнительного профессионального образования «Специалист в сфере закупок </w:t>
      </w:r>
      <w:r w:rsidR="009E2405">
        <w:rPr>
          <w:rFonts w:ascii="PT Astra Serif" w:eastAsia="Times New Roman" w:hAnsi="PT Astra Serif"/>
          <w:sz w:val="28"/>
          <w:szCs w:val="28"/>
          <w:lang w:eastAsia="ru-RU"/>
        </w:rPr>
        <w:t>в условиях пандемии» (40 часов);</w:t>
      </w:r>
    </w:p>
    <w:p w:rsidR="009E2405" w:rsidRPr="00F1231A" w:rsidRDefault="009E2405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подготовлены аналитические и презентационные материалы о</w:t>
      </w:r>
      <w:r w:rsidRPr="009E2405">
        <w:rPr>
          <w:rFonts w:ascii="PT Astra Serif" w:eastAsia="Times New Roman" w:hAnsi="PT Astra Serif"/>
          <w:sz w:val="28"/>
          <w:szCs w:val="28"/>
          <w:lang w:eastAsia="ru-RU"/>
        </w:rPr>
        <w:t xml:space="preserve"> результатах </w:t>
      </w:r>
      <w:r w:rsidR="00F9093C">
        <w:rPr>
          <w:rFonts w:ascii="PT Astra Serif" w:eastAsia="Times New Roman" w:hAnsi="PT Astra Serif"/>
          <w:sz w:val="28"/>
          <w:szCs w:val="28"/>
          <w:lang w:eastAsia="ru-RU"/>
        </w:rPr>
        <w:t>проведенных закупок у учреждений и предприятий уголовно-исполнительной системы</w:t>
      </w:r>
      <w:r w:rsidRPr="009E2405">
        <w:rPr>
          <w:rFonts w:ascii="PT Astra Serif" w:eastAsia="Times New Roman" w:hAnsi="PT Astra Serif"/>
          <w:sz w:val="28"/>
          <w:szCs w:val="28"/>
          <w:lang w:eastAsia="ru-RU"/>
        </w:rPr>
        <w:t xml:space="preserve"> за 10 месяцев 2020 года</w:t>
      </w:r>
      <w:r w:rsidR="00F9093C">
        <w:rPr>
          <w:rFonts w:ascii="PT Astra Serif" w:eastAsia="Times New Roman" w:hAnsi="PT Astra Serif"/>
          <w:sz w:val="28"/>
          <w:szCs w:val="28"/>
          <w:lang w:eastAsia="ru-RU"/>
        </w:rPr>
        <w:t xml:space="preserve"> (19.11.2020)</w:t>
      </w:r>
      <w:r w:rsidRPr="009E240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842DB" w:rsidRDefault="000842DB" w:rsidP="00802B9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0842DB" w:rsidSect="00091DAA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AB659F" w:rsidP="00111E7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F4F068" wp14:editId="54B797FA">
            <wp:extent cx="9361170" cy="563329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  <w:r w:rsidR="00FA4A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0">
              <w:txbxContent>
                <w:p w:rsidR="00647DE8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647DE8" w:rsidRPr="000842DB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аграмма1</w:t>
                  </w:r>
                </w:p>
              </w:txbxContent>
            </v:textbox>
          </v:shape>
        </w:pict>
      </w:r>
    </w:p>
    <w:p w:rsidR="00B52CCB" w:rsidRDefault="00B52CCB" w:rsidP="00111E7E">
      <w:pPr>
        <w:rPr>
          <w:noProof/>
          <w:lang w:eastAsia="ru-RU"/>
        </w:rPr>
      </w:pPr>
    </w:p>
    <w:p w:rsidR="00D04553" w:rsidRDefault="00FA4A2A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115" type="#_x0000_t202" style="position:absolute;margin-left:647.8pt;margin-top:-18.35pt;width:101pt;height:32.7pt;z-index:251666944" stroked="f">
            <v:textbox style="mso-next-textbox:#_x0000_s1115">
              <w:txbxContent>
                <w:p w:rsidR="00647DE8" w:rsidRPr="00937DDA" w:rsidRDefault="00647DE8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  <w:r w:rsidR="00AB659F">
        <w:rPr>
          <w:noProof/>
          <w:lang w:eastAsia="ru-RU"/>
        </w:rPr>
        <w:drawing>
          <wp:inline distT="0" distB="0" distL="0" distR="0" wp14:anchorId="57B6E986" wp14:editId="1F299133">
            <wp:extent cx="9348396" cy="55294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pict>
          <v:rect id="_x0000_s1060" style="position:absolute;margin-left:7.35pt;margin-top:74.9pt;width:45.25pt;height:14.15pt;z-index:251650560;mso-position-horizontal-relative:text;mso-position-vertical-relative:text" stroked="f"/>
        </w:pict>
      </w:r>
    </w:p>
    <w:p w:rsidR="00B52CCB" w:rsidRDefault="00B52CCB" w:rsidP="00FC2EE9">
      <w:pPr>
        <w:rPr>
          <w:noProof/>
          <w:lang w:eastAsia="ru-RU"/>
        </w:rPr>
      </w:pPr>
    </w:p>
    <w:p w:rsidR="006F2CC8" w:rsidRDefault="00AB659F" w:rsidP="00FC2EE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7350" cy="5676900"/>
            <wp:effectExtent l="0" t="0" r="0" b="0"/>
            <wp:docPr id="4" name="Рисунок 4" descr="Z:\ОТДЕЛ МОНИТОРИНГА И ОТЧЕТНОСТИ\!ОТЧЁТ 2020\Отчет ОГКУ\декабрь\декабрь\для отчета\смп грб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НИТОРИНГА И ОТЧЕТНОСТИ\!ОТЧЁТ 2020\Отчет ОГКУ\декабрь\декабрь\для отчета\смп грб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2A">
        <w:rPr>
          <w:noProof/>
          <w:lang w:eastAsia="ru-RU"/>
        </w:rPr>
        <w:pict>
          <v:shape id="_x0000_s1074" type="#_x0000_t202" style="position:absolute;margin-left:652.05pt;margin-top:-34.4pt;width:101pt;height:32.7pt;z-index:251656704;mso-position-horizontal-relative:text;mso-position-vertical-relative:text" stroked="f">
            <v:textbox style="mso-next-textbox:#_x0000_s1074">
              <w:txbxContent>
                <w:p w:rsidR="00647DE8" w:rsidRPr="00937DDA" w:rsidRDefault="00647DE8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</w:p>
    <w:p w:rsidR="006F2CC8" w:rsidRDefault="00FA4A2A" w:rsidP="00FC2EE9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090" type="#_x0000_t202" style="position:absolute;margin-left:-5.2pt;margin-top:1.7pt;width:758.25pt;height:43.5pt;z-index:251662848;mso-position-horizontal-relative:text;mso-position-vertical-relative:text" stroked="f">
            <v:textbox style="mso-next-textbox:#_x0000_s1090">
              <w:txbxContent>
                <w:p w:rsidR="00647DE8" w:rsidRPr="008B53EE" w:rsidRDefault="00647DE8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</w:txbxContent>
            </v:textbox>
          </v:shape>
        </w:pict>
      </w:r>
    </w:p>
    <w:p w:rsidR="00B52CCB" w:rsidRDefault="00FA4A2A" w:rsidP="00FC2EE9">
      <w:r>
        <w:rPr>
          <w:noProof/>
          <w:lang w:eastAsia="ru-RU"/>
        </w:rPr>
        <w:lastRenderedPageBreak/>
        <w:pict>
          <v:shape id="_x0000_s1066" type="#_x0000_t202" style="position:absolute;margin-left:641.55pt;margin-top:-28.45pt;width:91.25pt;height:27.75pt;z-index:251651584;mso-position-horizontal-relative:text;mso-position-vertical-relative:text" stroked="f">
            <v:textbox style="mso-next-textbox:#_x0000_s1066">
              <w:txbxContent>
                <w:p w:rsidR="00647DE8" w:rsidRPr="00937DDA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4</w:t>
                  </w:r>
                </w:p>
              </w:txbxContent>
            </v:textbox>
          </v:shape>
        </w:pict>
      </w:r>
      <w:r w:rsidR="004D7B14">
        <w:rPr>
          <w:noProof/>
          <w:lang w:eastAsia="ru-RU"/>
        </w:rPr>
        <w:drawing>
          <wp:inline distT="0" distB="0" distL="0" distR="0">
            <wp:extent cx="9361170" cy="4918728"/>
            <wp:effectExtent l="0" t="0" r="0" b="0"/>
            <wp:docPr id="5" name="Рисунок 5" descr="C:\Users\Gaynutdinov\Desktop\год\декабрь\для отчета\грбс процедуры конечная 517 д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nutdinov\Desktop\год\декабрь\для отчета\грбс процедуры конечная 517 доп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9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B" w:rsidRPr="00395057" w:rsidRDefault="00FA4A2A" w:rsidP="00395057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117" type="#_x0000_t202" style="position:absolute;margin-left:9.75pt;margin-top:10.6pt;width:756.85pt;height:37.5pt;z-index:251667968;mso-position-horizontal-relative:text;mso-position-vertical-relative:text" stroked="f">
            <v:textbox style="mso-next-textbox:#_x0000_s1117">
              <w:txbxContent>
                <w:p w:rsidR="00647DE8" w:rsidRPr="008B53EE" w:rsidRDefault="00647DE8" w:rsidP="00CB7043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 xml:space="preserve">* </w:t>
                  </w:r>
                  <w:r>
                    <w:rPr>
                      <w:rFonts w:ascii="PT Astra Serif" w:hAnsi="PT Astra Serif"/>
                    </w:rPr>
                    <w:t>закупки, проведенные как через уполномоченный орган, так и самостоятельно заказчиками</w:t>
                  </w:r>
                </w:p>
                <w:p w:rsidR="00647DE8" w:rsidRPr="008B53EE" w:rsidRDefault="00647DE8" w:rsidP="00823BF0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p w:rsidR="000C3C6A" w:rsidRPr="000C3C6A" w:rsidRDefault="00AB659F" w:rsidP="000C3C6A">
      <w:pPr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257E82" wp14:editId="7573288D">
            <wp:extent cx="9208546" cy="5518673"/>
            <wp:effectExtent l="0" t="0" r="1206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A4A2A">
        <w:rPr>
          <w:noProof/>
          <w:lang w:eastAsia="ru-RU"/>
        </w:rPr>
        <w:pict>
          <v:shape id="_x0000_s1113" type="#_x0000_t202" style="position:absolute;left:0;text-align:left;margin-left:652.8pt;margin-top:-23.9pt;width:91.25pt;height:27.75pt;z-index:251665920;mso-position-horizontal-relative:text;mso-position-vertical-relative:text" stroked="f">
            <v:textbox style="mso-next-textbox:#_x0000_s1113">
              <w:txbxContent>
                <w:p w:rsidR="00647DE8" w:rsidRPr="00937DDA" w:rsidRDefault="00647DE8" w:rsidP="000C3C6A">
                  <w:pPr>
                    <w:rPr>
                      <w:rFonts w:ascii="PT Astra Serif" w:hAnsi="PT Astra Serif"/>
                      <w:sz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</w:rPr>
                    <w:t xml:space="preserve">Диаграмма </w:t>
                  </w:r>
                  <w:r>
                    <w:rPr>
                      <w:rFonts w:ascii="PT Astra Serif" w:hAnsi="PT Astra Serif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B52CCB" w:rsidRDefault="00B52CCB" w:rsidP="00111E7E">
      <w:pPr>
        <w:tabs>
          <w:tab w:val="left" w:pos="2160"/>
        </w:tabs>
        <w:rPr>
          <w:noProof/>
          <w:lang w:eastAsia="ru-RU"/>
        </w:rPr>
      </w:pPr>
    </w:p>
    <w:p w:rsidR="00D04553" w:rsidRDefault="00AB659F" w:rsidP="00111E7E">
      <w:pPr>
        <w:tabs>
          <w:tab w:val="left" w:pos="216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67775" cy="6477000"/>
            <wp:effectExtent l="0" t="0" r="0" b="0"/>
            <wp:docPr id="14" name="Рисунок 14" descr="Z:\ОТДЕЛ МОНИТОРИНГА И ОТЧЕТНОСТИ\!ОТЧЁТ 2020\Отчет ОГКУ\декабрь\декабрь\для отчета\про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МОНИТОРИНГА И ОТЧЕТНОСТИ\!ОТЧЁТ 2020\Отчет ОГКУ\декабрь\декабрь\для отчета\просв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2A">
        <w:rPr>
          <w:noProof/>
          <w:lang w:eastAsia="ru-RU"/>
        </w:rPr>
        <w:pict>
          <v:shape id="_x0000_s1068" type="#_x0000_t202" style="position:absolute;margin-left:625.8pt;margin-top:-26.15pt;width:95.35pt;height:28.05pt;z-index:251653632;mso-position-horizontal-relative:text;mso-position-vertical-relative:text" stroked="f">
            <v:textbox style="mso-next-textbox:#_x0000_s1068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6</w:t>
                  </w:r>
                </w:p>
              </w:txbxContent>
            </v:textbox>
          </v:shape>
        </w:pict>
      </w:r>
    </w:p>
    <w:p w:rsidR="00B52CCB" w:rsidRDefault="00AB659F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96350" cy="5962650"/>
            <wp:effectExtent l="0" t="0" r="0" b="0"/>
            <wp:docPr id="15" name="Рисунок 15" descr="Z:\ОТДЕЛ МОНИТОРИНГА И ОТЧЕТНОСТИ\!ОТЧЁТ 2020\Отчет ОГКУ\декабрь\декабрь\для отчета\при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МОНИТОРИНГА И ОТЧЕТНОСТИ\!ОТЧЁТ 2020\Отчет ОГКУ\декабрь\декабрь\для отчета\природа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2A">
        <w:rPr>
          <w:noProof/>
          <w:lang w:eastAsia="ru-RU"/>
        </w:rPr>
        <w:pict>
          <v:shape id="_x0000_s1069" type="#_x0000_t202" style="position:absolute;margin-left:614.85pt;margin-top:-26pt;width:94.45pt;height:25.25pt;z-index:251654656;mso-position-horizontal-relative:text;mso-position-vertical-relative:text" stroked="f">
            <v:textbox style="mso-next-textbox:#_x0000_s1069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>
                    <w:rPr>
                      <w:rFonts w:ascii="PT Astra Serif" w:hAnsi="PT Astra Serif"/>
                      <w:sz w:val="28"/>
                    </w:rPr>
                    <w:t>мма 7</w:t>
                  </w:r>
                </w:p>
              </w:txbxContent>
            </v:textbox>
          </v:shape>
        </w:pict>
      </w:r>
    </w:p>
    <w:p w:rsidR="00ED3AB7" w:rsidRDefault="00AB659F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05875" cy="5962650"/>
            <wp:effectExtent l="0" t="0" r="0" b="0"/>
            <wp:docPr id="16" name="Рисунок 16" descr="Z:\ОТДЕЛ МОНИТОРИНГА И ОТЧЕТНОСТИ\!ОТЧЁТ 2020\Отчет ОГКУ\декабрь\декабрь\для отчета\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МОНИТОРИНГА И ОТЧЕТНОСТИ\!ОТЧЁТ 2020\Отчет ОГКУ\декабрь\декабрь\для отчета\стро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2A">
        <w:rPr>
          <w:noProof/>
          <w:lang w:eastAsia="ru-RU"/>
        </w:rPr>
        <w:pict>
          <v:shape id="_x0000_s1070" type="#_x0000_t202" style="position:absolute;margin-left:599.35pt;margin-top:-25.85pt;width:102.85pt;height:25.3pt;z-index:251655680;mso-position-horizontal-relative:text;mso-position-vertical-relative:text" stroked="f">
            <v:textbox style="mso-next-textbox:#_x0000_s1070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8</w:t>
                  </w:r>
                </w:p>
              </w:txbxContent>
            </v:textbox>
          </v:shape>
        </w:pict>
      </w:r>
    </w:p>
    <w:p w:rsidR="00D63609" w:rsidRDefault="00AB659F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1A018C" wp14:editId="20BA11EF">
            <wp:extent cx="9496425" cy="60198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A4A2A">
        <w:rPr>
          <w:rFonts w:ascii="PT Astra Serif" w:hAnsi="PT Astra Serif"/>
          <w:noProof/>
          <w:lang w:eastAsia="ru-RU"/>
        </w:rPr>
        <w:pict>
          <v:shape id="Надпись 2" o:spid="_x0000_s1055" type="#_x0000_t202" style="position:absolute;margin-left:628.8pt;margin-top:-23.1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647DE8" w:rsidRPr="000842DB" w:rsidRDefault="00647DE8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иаграмма9</w:t>
                  </w:r>
                </w:p>
              </w:txbxContent>
            </v:textbox>
          </v:shape>
        </w:pict>
      </w:r>
      <w:r w:rsidR="00FA4A2A">
        <w:rPr>
          <w:rFonts w:ascii="PT Astra Serif" w:hAnsi="PT Astra Serif"/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7" type="#_x0000_t122" style="position:absolute;margin-left:661.05pt;margin-top:105.85pt;width:19.6pt;height:13.5pt;z-index:251661824;mso-position-horizontal-relative:text;mso-position-vertical-relative:text" stroked="f"/>
        </w:pict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AB659F" w:rsidP="00727248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0E22D14" wp14:editId="6FE82D62">
            <wp:extent cx="9515475" cy="56292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A4A2A">
        <w:rPr>
          <w:noProof/>
          <w:lang w:eastAsia="ru-RU"/>
        </w:rPr>
        <w:pict>
          <v:shape id="_x0000_s1081" type="#_x0000_t202" style="position:absolute;margin-left:599.55pt;margin-top:-30.65pt;width:137.25pt;height:22.5pt;z-index:25165977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1">
              <w:txbxContent>
                <w:p w:rsidR="00647DE8" w:rsidRPr="00C55D97" w:rsidRDefault="00647DE8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10</w:t>
                  </w:r>
                </w:p>
              </w:txbxContent>
            </v:textbox>
          </v:shape>
        </w:pict>
      </w:r>
    </w:p>
    <w:p w:rsidR="00727248" w:rsidRPr="00727248" w:rsidRDefault="00FA4A2A" w:rsidP="00727248">
      <w:pPr>
        <w:rPr>
          <w:lang w:eastAsia="ru-RU"/>
        </w:rPr>
        <w:sectPr w:rsidR="00727248" w:rsidRPr="00727248" w:rsidSect="00B92CDD">
          <w:pgSz w:w="16838" w:h="11906" w:orient="landscape"/>
          <w:pgMar w:top="1138" w:right="962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647DE8" w:rsidRPr="008B53EE" w:rsidRDefault="00647DE8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E8" w:rsidRDefault="00647DE8" w:rsidP="008952FF">
      <w:pPr>
        <w:spacing w:after="0" w:line="240" w:lineRule="auto"/>
      </w:pPr>
      <w:r>
        <w:separator/>
      </w:r>
    </w:p>
  </w:endnote>
  <w:endnote w:type="continuationSeparator" w:id="0">
    <w:p w:rsidR="00647DE8" w:rsidRDefault="00647DE8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E8" w:rsidRDefault="00647DE8" w:rsidP="008952FF">
      <w:pPr>
        <w:spacing w:after="0" w:line="240" w:lineRule="auto"/>
      </w:pPr>
      <w:r>
        <w:separator/>
      </w:r>
    </w:p>
  </w:footnote>
  <w:footnote w:type="continuationSeparator" w:id="0">
    <w:p w:rsidR="00647DE8" w:rsidRDefault="00647DE8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E8" w:rsidRPr="00F64629" w:rsidRDefault="00647DE8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FA4A2A">
      <w:rPr>
        <w:rFonts w:ascii="Times New Roman" w:hAnsi="Times New Roman"/>
        <w:noProof/>
        <w:sz w:val="28"/>
        <w:szCs w:val="28"/>
      </w:rPr>
      <w:t>15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0"/>
  </w:num>
  <w:num w:numId="14">
    <w:abstractNumId w:val="23"/>
  </w:num>
  <w:num w:numId="15">
    <w:abstractNumId w:val="6"/>
  </w:num>
  <w:num w:numId="16">
    <w:abstractNumId w:val="20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3CCE"/>
    <w:rsid w:val="00014AA7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19FE"/>
    <w:rsid w:val="000B31F5"/>
    <w:rsid w:val="000B4EE7"/>
    <w:rsid w:val="000B72B6"/>
    <w:rsid w:val="000B76FC"/>
    <w:rsid w:val="000C3B63"/>
    <w:rsid w:val="000C3C6A"/>
    <w:rsid w:val="000D2292"/>
    <w:rsid w:val="000D277A"/>
    <w:rsid w:val="000D40CD"/>
    <w:rsid w:val="000D7F3F"/>
    <w:rsid w:val="000E08FE"/>
    <w:rsid w:val="000E6746"/>
    <w:rsid w:val="000F0AD6"/>
    <w:rsid w:val="000F1080"/>
    <w:rsid w:val="000F2E9D"/>
    <w:rsid w:val="000F3F81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374D"/>
    <w:rsid w:val="00161EB1"/>
    <w:rsid w:val="001630B0"/>
    <w:rsid w:val="00164CF2"/>
    <w:rsid w:val="00166664"/>
    <w:rsid w:val="0017734B"/>
    <w:rsid w:val="00186ED8"/>
    <w:rsid w:val="001A0161"/>
    <w:rsid w:val="001A687C"/>
    <w:rsid w:val="001B7927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62501"/>
    <w:rsid w:val="00264C27"/>
    <w:rsid w:val="00266187"/>
    <w:rsid w:val="002721C8"/>
    <w:rsid w:val="002723FA"/>
    <w:rsid w:val="002834DD"/>
    <w:rsid w:val="0028362A"/>
    <w:rsid w:val="002A1E86"/>
    <w:rsid w:val="002A2D36"/>
    <w:rsid w:val="002A5A84"/>
    <w:rsid w:val="002B5673"/>
    <w:rsid w:val="002C0DB5"/>
    <w:rsid w:val="002C4E3F"/>
    <w:rsid w:val="002D0AE4"/>
    <w:rsid w:val="002D4E74"/>
    <w:rsid w:val="002D727A"/>
    <w:rsid w:val="002D7BBA"/>
    <w:rsid w:val="002E24A8"/>
    <w:rsid w:val="002E44B0"/>
    <w:rsid w:val="002F19A8"/>
    <w:rsid w:val="002F3A58"/>
    <w:rsid w:val="002F65CD"/>
    <w:rsid w:val="002F7642"/>
    <w:rsid w:val="00300929"/>
    <w:rsid w:val="00313804"/>
    <w:rsid w:val="00313E37"/>
    <w:rsid w:val="00315E00"/>
    <w:rsid w:val="003221D2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6DFF"/>
    <w:rsid w:val="0036782A"/>
    <w:rsid w:val="003708AE"/>
    <w:rsid w:val="00371DB0"/>
    <w:rsid w:val="003722B8"/>
    <w:rsid w:val="00376EEE"/>
    <w:rsid w:val="0038157C"/>
    <w:rsid w:val="003860B4"/>
    <w:rsid w:val="00395057"/>
    <w:rsid w:val="003971B5"/>
    <w:rsid w:val="003A7BB7"/>
    <w:rsid w:val="003B2E21"/>
    <w:rsid w:val="003B41D2"/>
    <w:rsid w:val="003B6D48"/>
    <w:rsid w:val="003C27BB"/>
    <w:rsid w:val="003D1747"/>
    <w:rsid w:val="003E0B6D"/>
    <w:rsid w:val="003E44A5"/>
    <w:rsid w:val="003E468B"/>
    <w:rsid w:val="003E5D0D"/>
    <w:rsid w:val="003E630B"/>
    <w:rsid w:val="003E79DE"/>
    <w:rsid w:val="003F2A7F"/>
    <w:rsid w:val="003F30CD"/>
    <w:rsid w:val="003F3BFD"/>
    <w:rsid w:val="004007EA"/>
    <w:rsid w:val="0040106C"/>
    <w:rsid w:val="00404FE6"/>
    <w:rsid w:val="00407247"/>
    <w:rsid w:val="004105F7"/>
    <w:rsid w:val="004159E6"/>
    <w:rsid w:val="00421278"/>
    <w:rsid w:val="00422CFA"/>
    <w:rsid w:val="00423200"/>
    <w:rsid w:val="00424062"/>
    <w:rsid w:val="00431B01"/>
    <w:rsid w:val="00433037"/>
    <w:rsid w:val="00433442"/>
    <w:rsid w:val="0043570B"/>
    <w:rsid w:val="00441851"/>
    <w:rsid w:val="00441C62"/>
    <w:rsid w:val="00442A69"/>
    <w:rsid w:val="00443EBA"/>
    <w:rsid w:val="00452BC1"/>
    <w:rsid w:val="0046198A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D7B14"/>
    <w:rsid w:val="004E1390"/>
    <w:rsid w:val="004E1A30"/>
    <w:rsid w:val="004E7E55"/>
    <w:rsid w:val="004F292F"/>
    <w:rsid w:val="004F3A0B"/>
    <w:rsid w:val="004F5F56"/>
    <w:rsid w:val="004F6A21"/>
    <w:rsid w:val="005001FE"/>
    <w:rsid w:val="0050112C"/>
    <w:rsid w:val="005111BC"/>
    <w:rsid w:val="00511920"/>
    <w:rsid w:val="00511A08"/>
    <w:rsid w:val="00521F29"/>
    <w:rsid w:val="00523AA5"/>
    <w:rsid w:val="00542DEA"/>
    <w:rsid w:val="005445C3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D99"/>
    <w:rsid w:val="005A07CE"/>
    <w:rsid w:val="005A5B68"/>
    <w:rsid w:val="005A661C"/>
    <w:rsid w:val="005A6882"/>
    <w:rsid w:val="005D5EFF"/>
    <w:rsid w:val="005D6C8B"/>
    <w:rsid w:val="005E032E"/>
    <w:rsid w:val="005E7EDF"/>
    <w:rsid w:val="005F2D59"/>
    <w:rsid w:val="0060120C"/>
    <w:rsid w:val="00604586"/>
    <w:rsid w:val="00604912"/>
    <w:rsid w:val="00610F4A"/>
    <w:rsid w:val="006133C8"/>
    <w:rsid w:val="006134AA"/>
    <w:rsid w:val="006217FD"/>
    <w:rsid w:val="0062232F"/>
    <w:rsid w:val="006226C1"/>
    <w:rsid w:val="00626E6A"/>
    <w:rsid w:val="0063105D"/>
    <w:rsid w:val="0063764D"/>
    <w:rsid w:val="00637B45"/>
    <w:rsid w:val="0064225D"/>
    <w:rsid w:val="00647DE8"/>
    <w:rsid w:val="00653F5E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D01B5"/>
    <w:rsid w:val="006D71B5"/>
    <w:rsid w:val="006D7B5F"/>
    <w:rsid w:val="006E084E"/>
    <w:rsid w:val="006E7462"/>
    <w:rsid w:val="006E7CEA"/>
    <w:rsid w:val="006F2CC8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7A9B"/>
    <w:rsid w:val="00757E6D"/>
    <w:rsid w:val="007617AD"/>
    <w:rsid w:val="00763460"/>
    <w:rsid w:val="00766A1D"/>
    <w:rsid w:val="00767282"/>
    <w:rsid w:val="007716E6"/>
    <w:rsid w:val="007734E6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C1C1C"/>
    <w:rsid w:val="007D2001"/>
    <w:rsid w:val="007D7599"/>
    <w:rsid w:val="007E430A"/>
    <w:rsid w:val="007F2B11"/>
    <w:rsid w:val="007F3C63"/>
    <w:rsid w:val="007F4548"/>
    <w:rsid w:val="00802B91"/>
    <w:rsid w:val="00805AE8"/>
    <w:rsid w:val="00806706"/>
    <w:rsid w:val="0081000B"/>
    <w:rsid w:val="00814EF5"/>
    <w:rsid w:val="00817EB0"/>
    <w:rsid w:val="00823BF0"/>
    <w:rsid w:val="008264FE"/>
    <w:rsid w:val="008275DD"/>
    <w:rsid w:val="00831ADA"/>
    <w:rsid w:val="008516EF"/>
    <w:rsid w:val="00853844"/>
    <w:rsid w:val="00864418"/>
    <w:rsid w:val="0086657D"/>
    <w:rsid w:val="0086763C"/>
    <w:rsid w:val="00881582"/>
    <w:rsid w:val="0088463E"/>
    <w:rsid w:val="008851F4"/>
    <w:rsid w:val="0088708A"/>
    <w:rsid w:val="00891001"/>
    <w:rsid w:val="00891846"/>
    <w:rsid w:val="00891A70"/>
    <w:rsid w:val="00894B67"/>
    <w:rsid w:val="008952FF"/>
    <w:rsid w:val="008A79A1"/>
    <w:rsid w:val="008B1BF8"/>
    <w:rsid w:val="008B53EE"/>
    <w:rsid w:val="008B6646"/>
    <w:rsid w:val="008D0A97"/>
    <w:rsid w:val="008D6674"/>
    <w:rsid w:val="008E1B30"/>
    <w:rsid w:val="008E773D"/>
    <w:rsid w:val="008F11B7"/>
    <w:rsid w:val="008F7283"/>
    <w:rsid w:val="009024DE"/>
    <w:rsid w:val="00910E5F"/>
    <w:rsid w:val="0092067E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2AE2"/>
    <w:rsid w:val="009D49FD"/>
    <w:rsid w:val="009E2405"/>
    <w:rsid w:val="009E2650"/>
    <w:rsid w:val="009F174A"/>
    <w:rsid w:val="009F47ED"/>
    <w:rsid w:val="00A06845"/>
    <w:rsid w:val="00A13D50"/>
    <w:rsid w:val="00A43FE7"/>
    <w:rsid w:val="00A4413E"/>
    <w:rsid w:val="00A4496B"/>
    <w:rsid w:val="00A57121"/>
    <w:rsid w:val="00A67D78"/>
    <w:rsid w:val="00A67ED7"/>
    <w:rsid w:val="00A70A61"/>
    <w:rsid w:val="00A75AB0"/>
    <w:rsid w:val="00A80F0A"/>
    <w:rsid w:val="00A85BDF"/>
    <w:rsid w:val="00A866E6"/>
    <w:rsid w:val="00A92FC3"/>
    <w:rsid w:val="00A95E27"/>
    <w:rsid w:val="00AA16E2"/>
    <w:rsid w:val="00AB25AF"/>
    <w:rsid w:val="00AB29CF"/>
    <w:rsid w:val="00AB659F"/>
    <w:rsid w:val="00AB6901"/>
    <w:rsid w:val="00AB74DE"/>
    <w:rsid w:val="00AC5B6A"/>
    <w:rsid w:val="00AC79C5"/>
    <w:rsid w:val="00AD17B7"/>
    <w:rsid w:val="00AD3339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2501"/>
    <w:rsid w:val="00B43A2E"/>
    <w:rsid w:val="00B47A14"/>
    <w:rsid w:val="00B52CCB"/>
    <w:rsid w:val="00B60BA9"/>
    <w:rsid w:val="00B647F9"/>
    <w:rsid w:val="00B81C50"/>
    <w:rsid w:val="00B8482B"/>
    <w:rsid w:val="00B84918"/>
    <w:rsid w:val="00B872FA"/>
    <w:rsid w:val="00B905B1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C6937"/>
    <w:rsid w:val="00BD6A4D"/>
    <w:rsid w:val="00BD7F5C"/>
    <w:rsid w:val="00BE025F"/>
    <w:rsid w:val="00BE4689"/>
    <w:rsid w:val="00BE4A0A"/>
    <w:rsid w:val="00BE6763"/>
    <w:rsid w:val="00BE6E17"/>
    <w:rsid w:val="00BE7244"/>
    <w:rsid w:val="00BE73C8"/>
    <w:rsid w:val="00BE741D"/>
    <w:rsid w:val="00BE7C65"/>
    <w:rsid w:val="00BF1C6D"/>
    <w:rsid w:val="00C03F7F"/>
    <w:rsid w:val="00C0423F"/>
    <w:rsid w:val="00C04CD4"/>
    <w:rsid w:val="00C050C3"/>
    <w:rsid w:val="00C05E22"/>
    <w:rsid w:val="00C15405"/>
    <w:rsid w:val="00C20822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DA6"/>
    <w:rsid w:val="00C7464C"/>
    <w:rsid w:val="00C75281"/>
    <w:rsid w:val="00C76742"/>
    <w:rsid w:val="00C77FE5"/>
    <w:rsid w:val="00C860B2"/>
    <w:rsid w:val="00C90A86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E110B"/>
    <w:rsid w:val="00CE5C33"/>
    <w:rsid w:val="00CE6820"/>
    <w:rsid w:val="00CE78AB"/>
    <w:rsid w:val="00CE7F6F"/>
    <w:rsid w:val="00CF67CA"/>
    <w:rsid w:val="00D02B38"/>
    <w:rsid w:val="00D0333E"/>
    <w:rsid w:val="00D04553"/>
    <w:rsid w:val="00D06D30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4FDB"/>
    <w:rsid w:val="00D56140"/>
    <w:rsid w:val="00D6359F"/>
    <w:rsid w:val="00D63609"/>
    <w:rsid w:val="00D64206"/>
    <w:rsid w:val="00D64C2C"/>
    <w:rsid w:val="00D65408"/>
    <w:rsid w:val="00D67207"/>
    <w:rsid w:val="00D71935"/>
    <w:rsid w:val="00D75E00"/>
    <w:rsid w:val="00D80BD7"/>
    <w:rsid w:val="00D81F87"/>
    <w:rsid w:val="00D92012"/>
    <w:rsid w:val="00D92D81"/>
    <w:rsid w:val="00D94869"/>
    <w:rsid w:val="00DA3264"/>
    <w:rsid w:val="00DB0D26"/>
    <w:rsid w:val="00DB2713"/>
    <w:rsid w:val="00DD1CD4"/>
    <w:rsid w:val="00DD2590"/>
    <w:rsid w:val="00DD3497"/>
    <w:rsid w:val="00DD52EC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7346B"/>
    <w:rsid w:val="00E73CB7"/>
    <w:rsid w:val="00E8483D"/>
    <w:rsid w:val="00E84D97"/>
    <w:rsid w:val="00E84DFA"/>
    <w:rsid w:val="00E91328"/>
    <w:rsid w:val="00E9395F"/>
    <w:rsid w:val="00E97DEA"/>
    <w:rsid w:val="00EA0A08"/>
    <w:rsid w:val="00EA28DB"/>
    <w:rsid w:val="00EA6692"/>
    <w:rsid w:val="00EA6875"/>
    <w:rsid w:val="00EB193F"/>
    <w:rsid w:val="00EB6339"/>
    <w:rsid w:val="00EC1285"/>
    <w:rsid w:val="00EC6B81"/>
    <w:rsid w:val="00ED2244"/>
    <w:rsid w:val="00ED3AB7"/>
    <w:rsid w:val="00EE009E"/>
    <w:rsid w:val="00EE182D"/>
    <w:rsid w:val="00EE74B3"/>
    <w:rsid w:val="00EF1361"/>
    <w:rsid w:val="00EF5D03"/>
    <w:rsid w:val="00F02F2C"/>
    <w:rsid w:val="00F054A2"/>
    <w:rsid w:val="00F1231A"/>
    <w:rsid w:val="00F13EE9"/>
    <w:rsid w:val="00F27E21"/>
    <w:rsid w:val="00F30080"/>
    <w:rsid w:val="00F3058D"/>
    <w:rsid w:val="00F339CD"/>
    <w:rsid w:val="00F3774C"/>
    <w:rsid w:val="00F43C10"/>
    <w:rsid w:val="00F469F6"/>
    <w:rsid w:val="00F46C6E"/>
    <w:rsid w:val="00F4732B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58E9"/>
    <w:rsid w:val="00FA4A2A"/>
    <w:rsid w:val="00FA6366"/>
    <w:rsid w:val="00FB138C"/>
    <w:rsid w:val="00FB3DD7"/>
    <w:rsid w:val="00FB6CE1"/>
    <w:rsid w:val="00FC15E7"/>
    <w:rsid w:val="00FC2EE9"/>
    <w:rsid w:val="00FD0700"/>
    <w:rsid w:val="00FD20C3"/>
    <w:rsid w:val="00FD34B4"/>
    <w:rsid w:val="00FE0D13"/>
    <w:rsid w:val="00FE41AF"/>
    <w:rsid w:val="00FF0C2A"/>
    <w:rsid w:val="00FF1AB9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75;&#1086;&#1076;\&#1084;&#1091;&#1085;&#1080;&#1094;&#1080;&#1087;&#1072;&#1083;&#1099;\&#1054;&#1058;&#1063;&#1025;&#1058;%20&#1052;&#1059;&#1053;&#1048;&#1062;&#1048;&#1055;&#1040;&#1051;&#1067;%20&#1044;&#1045;&#1050;&#1040;&#1041;&#1056;&#106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75;&#1086;&#1076;\&#1076;&#1077;&#1082;&#1072;&#1073;&#1088;&#1100;\+&#1057;&#1052;&#1055;%20&#1076;&#1077;&#1082;&#1072;&#1073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Показатели ГРБС по объему конкурентных закупок </a:t>
            </a: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(через Уполномоченный орган) </a:t>
            </a:r>
            <a:endParaRPr lang="ru-RU">
              <a:effectLst/>
            </a:endParaRP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и среднему количеству участников</a:t>
            </a:r>
            <a:endParaRPr lang="ru-RU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Графики!$D$37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Правительство</c:v>
                </c:pt>
                <c:pt idx="5">
                  <c:v>Минсоц</c:v>
                </c:pt>
                <c:pt idx="6">
                  <c:v>Прочие</c:v>
                </c:pt>
                <c:pt idx="7">
                  <c:v>Минспорт</c:v>
                </c:pt>
                <c:pt idx="8">
                  <c:v>Минфин</c:v>
                </c:pt>
                <c:pt idx="9">
                  <c:v>Микульт</c:v>
                </c:pt>
                <c:pt idx="10">
                  <c:v>Минэнерго</c:v>
                </c:pt>
                <c:pt idx="11">
                  <c:v>Минприроды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Графики!$D$38:$D$50</c:f>
              <c:numCache>
                <c:formatCode>0</c:formatCode>
                <c:ptCount val="13"/>
                <c:pt idx="0">
                  <c:v>6634.363965399999</c:v>
                </c:pt>
                <c:pt idx="1">
                  <c:v>4783.1168167700007</c:v>
                </c:pt>
                <c:pt idx="2">
                  <c:v>1514.6706138100001</c:v>
                </c:pt>
                <c:pt idx="3">
                  <c:v>596.25341350999986</c:v>
                </c:pt>
                <c:pt idx="4">
                  <c:v>261.32457104000002</c:v>
                </c:pt>
                <c:pt idx="5">
                  <c:v>178.61964938000003</c:v>
                </c:pt>
                <c:pt idx="6">
                  <c:v>113.59001229</c:v>
                </c:pt>
                <c:pt idx="7">
                  <c:v>81.121823679999991</c:v>
                </c:pt>
                <c:pt idx="8">
                  <c:v>77.353072829999988</c:v>
                </c:pt>
                <c:pt idx="9">
                  <c:v>77.29059629999999</c:v>
                </c:pt>
                <c:pt idx="10">
                  <c:v>68.697382680000004</c:v>
                </c:pt>
                <c:pt idx="11">
                  <c:v>66.279175240000001</c:v>
                </c:pt>
                <c:pt idx="12">
                  <c:v>8.5859494200000004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5552640"/>
        <c:axId val="35583104"/>
      </c:barChart>
      <c:lineChart>
        <c:grouping val="standard"/>
        <c:varyColors val="0"/>
        <c:ser>
          <c:idx val="1"/>
          <c:order val="1"/>
          <c:tx>
            <c:strRef>
              <c:f>Графики!$E$37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832131905635943E-2"/>
                  <c:y val="-4.6865156801466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857277123167336E-2"/>
                  <c:y val="4.1920495978611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459010528058358E-3"/>
                  <c:y val="3.0133720594570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547464819058261E-2"/>
                  <c:y val="-4.9096830934869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175198488320396E-2"/>
                  <c:y val="-4.9096830934869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8802932157582532E-2"/>
                  <c:y val="-4.0170134401256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547464819058261E-2"/>
                  <c:y val="3.3475112001047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3576664567111662E-2"/>
                  <c:y val="-4.240180853465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335367921329266E-2"/>
                  <c:y val="4.060913705583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4014660787912659E-3"/>
                  <c:y val="4.4633482668063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7154386666964608E-3"/>
                  <c:y val="3.5706786134450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2832131905635929E-2"/>
                  <c:y val="-4.0170134401256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2233597984427098E-2"/>
                  <c:y val="4.4633482668063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Правительство</c:v>
                </c:pt>
                <c:pt idx="5">
                  <c:v>Минсоц</c:v>
                </c:pt>
                <c:pt idx="6">
                  <c:v>Прочие</c:v>
                </c:pt>
                <c:pt idx="7">
                  <c:v>Минспорт</c:v>
                </c:pt>
                <c:pt idx="8">
                  <c:v>Минфин</c:v>
                </c:pt>
                <c:pt idx="9">
                  <c:v>Микульт</c:v>
                </c:pt>
                <c:pt idx="10">
                  <c:v>Минэнерго</c:v>
                </c:pt>
                <c:pt idx="11">
                  <c:v>Минприроды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Графики!$E$38:$E$50</c:f>
              <c:numCache>
                <c:formatCode>0.00</c:formatCode>
                <c:ptCount val="13"/>
                <c:pt idx="0">
                  <c:v>2.6237047809489185</c:v>
                </c:pt>
                <c:pt idx="1">
                  <c:v>2.5104895104895104</c:v>
                </c:pt>
                <c:pt idx="2">
                  <c:v>2.671875</c:v>
                </c:pt>
                <c:pt idx="3">
                  <c:v>4.362393162393162</c:v>
                </c:pt>
                <c:pt idx="4">
                  <c:v>4.5303738317757007</c:v>
                </c:pt>
                <c:pt idx="5">
                  <c:v>4.2023460410557183</c:v>
                </c:pt>
                <c:pt idx="6">
                  <c:v>3.5218855218855221</c:v>
                </c:pt>
                <c:pt idx="7">
                  <c:v>4.4000000000000004</c:v>
                </c:pt>
                <c:pt idx="8">
                  <c:v>1.85</c:v>
                </c:pt>
                <c:pt idx="9">
                  <c:v>2.941860465116279</c:v>
                </c:pt>
                <c:pt idx="10">
                  <c:v>3.2916666666666665</c:v>
                </c:pt>
                <c:pt idx="11">
                  <c:v>3.7096774193548385</c:v>
                </c:pt>
                <c:pt idx="12">
                  <c:v>2.9090909090909092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84640"/>
        <c:axId val="83632512"/>
      </c:lineChart>
      <c:catAx>
        <c:axId val="3555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583104"/>
        <c:crosses val="autoZero"/>
        <c:auto val="1"/>
        <c:lblAlgn val="ctr"/>
        <c:lblOffset val="100"/>
        <c:noMultiLvlLbl val="0"/>
      </c:catAx>
      <c:valAx>
        <c:axId val="3558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552640"/>
        <c:crosses val="autoZero"/>
        <c:crossBetween val="between"/>
      </c:valAx>
      <c:catAx>
        <c:axId val="35584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3632512"/>
        <c:crosses val="autoZero"/>
        <c:auto val="1"/>
        <c:lblAlgn val="ctr"/>
        <c:lblOffset val="100"/>
        <c:noMultiLvlLbl val="0"/>
      </c:catAx>
      <c:valAx>
        <c:axId val="8363251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58464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Показатели ГРБС по объему самостоятельно проведенных заказчиками конкурентных закупок и среднему количеству участников</a:t>
            </a:r>
            <a:endParaRPr lang="ru-RU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Графики!$D$63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Прочие</c:v>
                </c:pt>
                <c:pt idx="6">
                  <c:v>Микульт</c:v>
                </c:pt>
                <c:pt idx="7">
                  <c:v>Минсельх</c:v>
                </c:pt>
                <c:pt idx="8">
                  <c:v>Минфин</c:v>
                </c:pt>
                <c:pt idx="9">
                  <c:v>Минтранс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Минэнерго</c:v>
                </c:pt>
              </c:strCache>
            </c:strRef>
          </c:cat>
          <c:val>
            <c:numRef>
              <c:f>Графики!$D$64:$D$76</c:f>
              <c:numCache>
                <c:formatCode>#,##0</c:formatCode>
                <c:ptCount val="13"/>
                <c:pt idx="0">
                  <c:v>165.35596525999998</c:v>
                </c:pt>
                <c:pt idx="1">
                  <c:v>58.252672550000007</c:v>
                </c:pt>
                <c:pt idx="2">
                  <c:v>25.458756000000001</c:v>
                </c:pt>
                <c:pt idx="3">
                  <c:v>8.0353494600000008</c:v>
                </c:pt>
                <c:pt idx="4">
                  <c:v>4.9570460899999995</c:v>
                </c:pt>
                <c:pt idx="5">
                  <c:v>3.5615316499999996</c:v>
                </c:pt>
                <c:pt idx="6">
                  <c:v>0.29435784999999998</c:v>
                </c:pt>
                <c:pt idx="7">
                  <c:v>0.17255766</c:v>
                </c:pt>
                <c:pt idx="8">
                  <c:v>0.1531902</c:v>
                </c:pt>
                <c:pt idx="9">
                  <c:v>7.8E-2</c:v>
                </c:pt>
                <c:pt idx="10">
                  <c:v>2.9536E-2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0326144"/>
        <c:axId val="90327680"/>
      </c:barChart>
      <c:lineChart>
        <c:grouping val="standard"/>
        <c:varyColors val="0"/>
        <c:ser>
          <c:idx val="1"/>
          <c:order val="1"/>
          <c:tx>
            <c:strRef>
              <c:f>Графики!$E$63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170436511247491E-2"/>
                  <c:y val="3.9045615913394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661843624753752E-2"/>
                  <c:y val="4.5940048237050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528958336809841E-2"/>
                  <c:y val="-4.134241684947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887480162372242E-2"/>
                  <c:y val="4.3639217785558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3963045639059365E-2"/>
                  <c:y val="-5.0529620593804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453392860122741E-2"/>
                  <c:y val="-5.0529620593804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887480162372242E-2"/>
                  <c:y val="3.6748814977312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260618416581717E-2"/>
                  <c:y val="-4.137931034482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65675694525563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2606480538007028E-2"/>
                  <c:y val="-4.134604341334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Прочие</c:v>
                </c:pt>
                <c:pt idx="6">
                  <c:v>Микульт</c:v>
                </c:pt>
                <c:pt idx="7">
                  <c:v>Минсельх</c:v>
                </c:pt>
                <c:pt idx="8">
                  <c:v>Минфин</c:v>
                </c:pt>
                <c:pt idx="9">
                  <c:v>Минтранс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Минэнерго</c:v>
                </c:pt>
              </c:strCache>
            </c:strRef>
          </c:cat>
          <c:val>
            <c:numRef>
              <c:f>Графики!$E$64:$E$76</c:f>
              <c:numCache>
                <c:formatCode>#,##0.00</c:formatCode>
                <c:ptCount val="13"/>
                <c:pt idx="0">
                  <c:v>2.5</c:v>
                </c:pt>
                <c:pt idx="1">
                  <c:v>2.6050359712230216</c:v>
                </c:pt>
                <c:pt idx="2">
                  <c:v>3.0714285714285716</c:v>
                </c:pt>
                <c:pt idx="3">
                  <c:v>2.3510638297872339</c:v>
                </c:pt>
                <c:pt idx="4">
                  <c:v>3.4936708860759493</c:v>
                </c:pt>
                <c:pt idx="5">
                  <c:v>3.7162162162162162</c:v>
                </c:pt>
                <c:pt idx="6">
                  <c:v>2.0909090909090908</c:v>
                </c:pt>
                <c:pt idx="7">
                  <c:v>7.8571428571428568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345856"/>
        <c:axId val="90347392"/>
      </c:lineChart>
      <c:catAx>
        <c:axId val="9032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327680"/>
        <c:crosses val="autoZero"/>
        <c:auto val="1"/>
        <c:lblAlgn val="ctr"/>
        <c:lblOffset val="100"/>
        <c:noMultiLvlLbl val="0"/>
      </c:catAx>
      <c:valAx>
        <c:axId val="9032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326144"/>
        <c:crosses val="autoZero"/>
        <c:crossBetween val="between"/>
      </c:valAx>
      <c:catAx>
        <c:axId val="90345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0347392"/>
        <c:crosses val="autoZero"/>
        <c:auto val="1"/>
        <c:lblAlgn val="ctr"/>
        <c:lblOffset val="100"/>
        <c:noMultiLvlLbl val="0"/>
      </c:catAx>
      <c:valAx>
        <c:axId val="90347392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34585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Показатели по количеству извещений </a:t>
            </a:r>
          </a:p>
          <a:p>
            <a:pPr>
              <a:defRPr sz="2400" b="1" i="0" u="none" strike="noStrike" kern="1200" spc="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и</a:t>
            </a:r>
            <a:r>
              <a:rPr lang="ru-RU" sz="2400" b="1" baseline="0"/>
              <a:t> среднему количеству участников </a:t>
            </a:r>
          </a:p>
          <a:p>
            <a:pPr>
              <a:defRPr sz="2400" b="1" i="0" u="none" strike="noStrike" kern="1200" spc="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Министерство здравоохранения</a:t>
            </a:r>
          </a:p>
        </c:rich>
      </c:tx>
      <c:layout>
        <c:manualLayout>
          <c:xMode val="edge"/>
          <c:yMode val="edge"/>
          <c:x val="0.25377760040504976"/>
          <c:y val="1.46136606946753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Графики!$C$169</c:f>
              <c:strCache>
                <c:ptCount val="1"/>
                <c:pt idx="0">
                  <c:v>Состоявшиеся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 w="15875">
              <a:solidFill>
                <a:srgbClr val="080808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Графики!$D$169:$G$169</c:f>
              <c:numCache>
                <c:formatCode>0</c:formatCode>
                <c:ptCount val="4"/>
                <c:pt idx="0">
                  <c:v>370</c:v>
                </c:pt>
                <c:pt idx="1">
                  <c:v>615</c:v>
                </c:pt>
                <c:pt idx="2">
                  <c:v>1083</c:v>
                </c:pt>
                <c:pt idx="3">
                  <c:v>1675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6F-4396-B147-7D4FB609BA2F}"/>
            </c:ext>
          </c:extLst>
        </c:ser>
        <c:ser>
          <c:idx val="1"/>
          <c:order val="1"/>
          <c:tx>
            <c:strRef>
              <c:f>Графики!$C$170</c:f>
              <c:strCache>
                <c:ptCount val="1"/>
                <c:pt idx="0">
                  <c:v>Не состоявшиеся (1 заявка)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80808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Графики!$D$170:$G$170</c:f>
              <c:numCache>
                <c:formatCode>0</c:formatCode>
                <c:ptCount val="4"/>
                <c:pt idx="0">
                  <c:v>224</c:v>
                </c:pt>
                <c:pt idx="1">
                  <c:v>311</c:v>
                </c:pt>
                <c:pt idx="2">
                  <c:v>567</c:v>
                </c:pt>
                <c:pt idx="3">
                  <c:v>1343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6F-4396-B147-7D4FB609BA2F}"/>
            </c:ext>
          </c:extLst>
        </c:ser>
        <c:ser>
          <c:idx val="2"/>
          <c:order val="2"/>
          <c:tx>
            <c:strRef>
              <c:f>Графики!$C$171</c:f>
              <c:strCache>
                <c:ptCount val="1"/>
                <c:pt idx="0">
                  <c:v>Не состоявшиеся (0 заявок)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rgbClr val="080808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2231709020163084E-3"/>
                  <c:y val="-2.19417119286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46341804032619E-3"/>
                  <c:y val="-1.8284759940538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695127060489266E-3"/>
                  <c:y val="-2.1941711928646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Графики!$D$171:$G$171</c:f>
              <c:numCache>
                <c:formatCode>0</c:formatCode>
                <c:ptCount val="4"/>
                <c:pt idx="0">
                  <c:v>96</c:v>
                </c:pt>
                <c:pt idx="1">
                  <c:v>126</c:v>
                </c:pt>
                <c:pt idx="2">
                  <c:v>150</c:v>
                </c:pt>
                <c:pt idx="3">
                  <c:v>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6F-4396-B147-7D4FB609B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988736"/>
        <c:axId val="91990272"/>
      </c:barChart>
      <c:lineChart>
        <c:grouping val="standard"/>
        <c:varyColors val="0"/>
        <c:ser>
          <c:idx val="3"/>
          <c:order val="3"/>
          <c:tx>
            <c:strRef>
              <c:f>Графики!$C$172</c:f>
              <c:strCache>
                <c:ptCount val="1"/>
                <c:pt idx="0">
                  <c:v>Индикатор</c:v>
                </c:pt>
              </c:strCache>
            </c:strRef>
          </c:tx>
          <c:spPr>
            <a:ln w="28575" cap="rnd">
              <a:solidFill>
                <a:srgbClr val="08080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7.3390254120978306E-3"/>
                  <c:y val="1.27993319583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390254120978054E-3"/>
                  <c:y val="-1.0970855964323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08538118146761E-2"/>
                  <c:y val="-3.2912567892969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58-4230-AD26-19485549F50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325519299090413E-2"/>
                  <c:y val="-3.5406483431114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A5-441D-B17D-E5E25AAC0A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Графики!$D$172:$G$172</c:f>
              <c:numCache>
                <c:formatCode>0.00</c:formatCode>
                <c:ptCount val="4"/>
                <c:pt idx="0">
                  <c:v>2.146376811594203</c:v>
                </c:pt>
                <c:pt idx="1">
                  <c:v>2.5627376425855513</c:v>
                </c:pt>
                <c:pt idx="2">
                  <c:v>2.6711111111111112</c:v>
                </c:pt>
                <c:pt idx="3">
                  <c:v>2.6883878937615813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66F-4396-B147-7D4FB609B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09984"/>
        <c:axId val="92008448"/>
      </c:lineChart>
      <c:catAx>
        <c:axId val="9198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0272"/>
        <c:crosses val="autoZero"/>
        <c:auto val="1"/>
        <c:lblAlgn val="ctr"/>
        <c:lblOffset val="100"/>
        <c:noMultiLvlLbl val="0"/>
      </c:catAx>
      <c:valAx>
        <c:axId val="9199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88736"/>
        <c:crosses val="autoZero"/>
        <c:crossBetween val="between"/>
      </c:valAx>
      <c:valAx>
        <c:axId val="9200844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09984"/>
        <c:crosses val="max"/>
        <c:crossBetween val="between"/>
      </c:valAx>
      <c:catAx>
        <c:axId val="92009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2008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rgbClr val="080808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080808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по объему размещения и среднему количеству участников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Новоульяновск </c:v>
                </c:pt>
                <c:pt idx="3">
                  <c:v>Чердаклинский район</c:v>
                </c:pt>
                <c:pt idx="4">
                  <c:v>Ульяновский район</c:v>
                </c:pt>
                <c:pt idx="5">
                  <c:v>Барышский район</c:v>
                </c:pt>
                <c:pt idx="6">
                  <c:v>Мелекесский район</c:v>
                </c:pt>
                <c:pt idx="7">
                  <c:v>Инзенский район</c:v>
                </c:pt>
                <c:pt idx="8">
                  <c:v>Николаевский район </c:v>
                </c:pt>
                <c:pt idx="9">
                  <c:v>Старомайнский район</c:v>
                </c:pt>
                <c:pt idx="10">
                  <c:v>Тереньгульский район</c:v>
                </c:pt>
                <c:pt idx="11">
                  <c:v>Карсунский район</c:v>
                </c:pt>
                <c:pt idx="12">
                  <c:v>Сенгилеевский район</c:v>
                </c:pt>
                <c:pt idx="13">
                  <c:v>Вешкаймский район </c:v>
                </c:pt>
                <c:pt idx="14">
                  <c:v>Цильнинский район</c:v>
                </c:pt>
                <c:pt idx="15">
                  <c:v>Новоспасский район</c:v>
                </c:pt>
                <c:pt idx="16">
                  <c:v>Сурский район</c:v>
                </c:pt>
                <c:pt idx="17">
                  <c:v>Майнский район</c:v>
                </c:pt>
                <c:pt idx="18">
                  <c:v>Старокулаткинский район</c:v>
                </c:pt>
                <c:pt idx="19">
                  <c:v>Кузоватовский район </c:v>
                </c:pt>
                <c:pt idx="20">
                  <c:v>Радищевский район</c:v>
                </c:pt>
                <c:pt idx="21">
                  <c:v>Павловский район</c:v>
                </c:pt>
                <c:pt idx="22">
                  <c:v>Новомалыклинский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1503.3008928000002</c:v>
                </c:pt>
                <c:pt idx="1">
                  <c:v>1251.6465899999998</c:v>
                </c:pt>
                <c:pt idx="2">
                  <c:v>492.13740000000001</c:v>
                </c:pt>
                <c:pt idx="3">
                  <c:v>358.91131000000007</c:v>
                </c:pt>
                <c:pt idx="4">
                  <c:v>350.20281</c:v>
                </c:pt>
                <c:pt idx="5">
                  <c:v>316.96892000000003</c:v>
                </c:pt>
                <c:pt idx="6">
                  <c:v>285.78395699999999</c:v>
                </c:pt>
                <c:pt idx="7">
                  <c:v>278.47556110000005</c:v>
                </c:pt>
                <c:pt idx="8">
                  <c:v>246.99660000000003</c:v>
                </c:pt>
                <c:pt idx="9">
                  <c:v>229.28782000000001</c:v>
                </c:pt>
                <c:pt idx="10">
                  <c:v>228.61755000000002</c:v>
                </c:pt>
                <c:pt idx="11">
                  <c:v>216.46329885999998</c:v>
                </c:pt>
                <c:pt idx="12">
                  <c:v>206.15680799999998</c:v>
                </c:pt>
                <c:pt idx="13">
                  <c:v>194.20146</c:v>
                </c:pt>
                <c:pt idx="14">
                  <c:v>173.33770199999998</c:v>
                </c:pt>
                <c:pt idx="15">
                  <c:v>166.62289000000001</c:v>
                </c:pt>
                <c:pt idx="16">
                  <c:v>155.60392999999999</c:v>
                </c:pt>
                <c:pt idx="17">
                  <c:v>142.24995999999999</c:v>
                </c:pt>
                <c:pt idx="18">
                  <c:v>138.38057999999998</c:v>
                </c:pt>
                <c:pt idx="19">
                  <c:v>137.58913000000001</c:v>
                </c:pt>
                <c:pt idx="20">
                  <c:v>131.24274</c:v>
                </c:pt>
                <c:pt idx="21">
                  <c:v>92.422060000000002</c:v>
                </c:pt>
                <c:pt idx="22">
                  <c:v>79.252300000000005</c:v>
                </c:pt>
                <c:pt idx="23">
                  <c:v>71.564419999999998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1939968"/>
        <c:axId val="91941504"/>
      </c:barChart>
      <c:lineChart>
        <c:grouping val="standard"/>
        <c:varyColors val="0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58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284459463344544E-2"/>
                  <c:y val="-3.5505431702017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398243248682363E-2"/>
                  <c:y val="-2.8848163257888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967270998035866E-2"/>
                  <c:y val="3.4984731965442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751842585705592E-2"/>
                  <c:y val="-2.8850421660008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3104352427360826E-3"/>
                  <c:y val="-3.1032592444931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424488689164556E-2"/>
                  <c:y val="3.0612146582942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7763842709230052E-2"/>
                  <c:y val="2.3938669058772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4296511581990064E-2"/>
                  <c:y val="-3.255207814213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2051140297533019E-2"/>
                  <c:y val="3.0853682846606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5409562019391509E-2"/>
                  <c:y val="-2.7426160337552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0419052432889218E-2"/>
                  <c:y val="3.2552078142130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123680753546729E-2"/>
                  <c:y val="-2.5759161433934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7832647462277092E-2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2901897965229134E-3"/>
                  <c:y val="-3.3807216688671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606313460809892E-2"/>
                  <c:y val="3.2696099364886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4.9709232684932419E-3"/>
                  <c:y val="1.8444798830525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8178972613378189E-2"/>
                  <c:y val="-2.1148709259443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3399200225347959E-2"/>
                  <c:y val="-2.875245024751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4.8144433299899599E-2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4.0292320531147147E-2"/>
                  <c:y val="2.9484202132961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1.0698762955533266E-2"/>
                  <c:y val="3.1645569620253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Новоульяновск </c:v>
                </c:pt>
                <c:pt idx="3">
                  <c:v>Чердаклинский район</c:v>
                </c:pt>
                <c:pt idx="4">
                  <c:v>Ульяновский район</c:v>
                </c:pt>
                <c:pt idx="5">
                  <c:v>Барышский район</c:v>
                </c:pt>
                <c:pt idx="6">
                  <c:v>Мелекесский район</c:v>
                </c:pt>
                <c:pt idx="7">
                  <c:v>Инзенский район</c:v>
                </c:pt>
                <c:pt idx="8">
                  <c:v>Николаевский район </c:v>
                </c:pt>
                <c:pt idx="9">
                  <c:v>Старомайнский район</c:v>
                </c:pt>
                <c:pt idx="10">
                  <c:v>Тереньгульский район</c:v>
                </c:pt>
                <c:pt idx="11">
                  <c:v>Карсунский район</c:v>
                </c:pt>
                <c:pt idx="12">
                  <c:v>Сенгилеевский район</c:v>
                </c:pt>
                <c:pt idx="13">
                  <c:v>Вешкаймский район </c:v>
                </c:pt>
                <c:pt idx="14">
                  <c:v>Цильнинский район</c:v>
                </c:pt>
                <c:pt idx="15">
                  <c:v>Новоспасский район</c:v>
                </c:pt>
                <c:pt idx="16">
                  <c:v>Сурский район</c:v>
                </c:pt>
                <c:pt idx="17">
                  <c:v>Майнский район</c:v>
                </c:pt>
                <c:pt idx="18">
                  <c:v>Старокулаткинский район</c:v>
                </c:pt>
                <c:pt idx="19">
                  <c:v>Кузоватовский район </c:v>
                </c:pt>
                <c:pt idx="20">
                  <c:v>Радищевский район</c:v>
                </c:pt>
                <c:pt idx="21">
                  <c:v>Павловский район</c:v>
                </c:pt>
                <c:pt idx="22">
                  <c:v>Новомалыклинский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4.26140350877193</c:v>
                </c:pt>
                <c:pt idx="1">
                  <c:v>3.4854771784232366</c:v>
                </c:pt>
                <c:pt idx="2">
                  <c:v>5.4390243902439028</c:v>
                </c:pt>
                <c:pt idx="3">
                  <c:v>6.2393162393162394</c:v>
                </c:pt>
                <c:pt idx="4">
                  <c:v>4.6808510638297873</c:v>
                </c:pt>
                <c:pt idx="5">
                  <c:v>4.6739130434782608</c:v>
                </c:pt>
                <c:pt idx="6">
                  <c:v>5.3534482758620694</c:v>
                </c:pt>
                <c:pt idx="7">
                  <c:v>5.4492753623188408</c:v>
                </c:pt>
                <c:pt idx="8">
                  <c:v>3.903225806451613</c:v>
                </c:pt>
                <c:pt idx="9">
                  <c:v>3.4290429042904291</c:v>
                </c:pt>
                <c:pt idx="10">
                  <c:v>4.5844155844155843</c:v>
                </c:pt>
                <c:pt idx="11">
                  <c:v>3.5704697986577183</c:v>
                </c:pt>
                <c:pt idx="12">
                  <c:v>4.2105263157894735</c:v>
                </c:pt>
                <c:pt idx="13">
                  <c:v>3.267605633802817</c:v>
                </c:pt>
                <c:pt idx="14">
                  <c:v>5.7228915662650603</c:v>
                </c:pt>
                <c:pt idx="15">
                  <c:v>4.8780487804878048</c:v>
                </c:pt>
                <c:pt idx="16">
                  <c:v>3.1585365853658538</c:v>
                </c:pt>
                <c:pt idx="17">
                  <c:v>2.641509433962264</c:v>
                </c:pt>
                <c:pt idx="18">
                  <c:v>3.2</c:v>
                </c:pt>
                <c:pt idx="19">
                  <c:v>5.75</c:v>
                </c:pt>
                <c:pt idx="20">
                  <c:v>7.0526315789473681</c:v>
                </c:pt>
                <c:pt idx="21">
                  <c:v>4.042553191489362</c:v>
                </c:pt>
                <c:pt idx="22">
                  <c:v>3.4015151515151514</c:v>
                </c:pt>
                <c:pt idx="23">
                  <c:v>3.253968253968254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59808"/>
        <c:axId val="93161344"/>
      </c:lineChart>
      <c:catAx>
        <c:axId val="919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941504"/>
        <c:crosses val="autoZero"/>
        <c:auto val="1"/>
        <c:lblAlgn val="ctr"/>
        <c:lblOffset val="100"/>
        <c:noMultiLvlLbl val="0"/>
      </c:catAx>
      <c:valAx>
        <c:axId val="9194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939968"/>
        <c:crosses val="autoZero"/>
        <c:crossBetween val="between"/>
      </c:valAx>
      <c:catAx>
        <c:axId val="93159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3161344"/>
        <c:crosses val="autoZero"/>
        <c:auto val="1"/>
        <c:lblAlgn val="ctr"/>
        <c:lblOffset val="100"/>
        <c:noMultiLvlLbl val="0"/>
      </c:catAx>
      <c:valAx>
        <c:axId val="93161344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159808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муниципальных образований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118820560097932E-2"/>
          <c:y val="0.18149870935554543"/>
          <c:w val="0.79414693124971658"/>
          <c:h val="0.39278957072514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Сурский район</c:v>
                </c:pt>
                <c:pt idx="2">
                  <c:v>Новомалыклинский район</c:v>
                </c:pt>
                <c:pt idx="3">
                  <c:v>Инзенский район</c:v>
                </c:pt>
                <c:pt idx="4">
                  <c:v>Кузоватовский район </c:v>
                </c:pt>
                <c:pt idx="5">
                  <c:v>Цильнинский район</c:v>
                </c:pt>
                <c:pt idx="6">
                  <c:v>Новоспасский район</c:v>
                </c:pt>
                <c:pt idx="7">
                  <c:v>Карсунский район</c:v>
                </c:pt>
                <c:pt idx="8">
                  <c:v>Старомайнский район</c:v>
                </c:pt>
                <c:pt idx="9">
                  <c:v>Мелекесский район</c:v>
                </c:pt>
                <c:pt idx="10">
                  <c:v>Майнский район</c:v>
                </c:pt>
                <c:pt idx="11">
                  <c:v>Ульяновский район</c:v>
                </c:pt>
                <c:pt idx="12">
                  <c:v>Тереньгульский район</c:v>
                </c:pt>
                <c:pt idx="13">
                  <c:v>Сенгилеевский район</c:v>
                </c:pt>
                <c:pt idx="14">
                  <c:v>Радищевский район</c:v>
                </c:pt>
                <c:pt idx="15">
                  <c:v>Вешкаймский район </c:v>
                </c:pt>
                <c:pt idx="16">
                  <c:v>Николаевский район </c:v>
                </c:pt>
                <c:pt idx="17">
                  <c:v>Димитровград </c:v>
                </c:pt>
                <c:pt idx="18">
                  <c:v>Чердаклинский район</c:v>
                </c:pt>
                <c:pt idx="19">
                  <c:v>Павловский район</c:v>
                </c:pt>
                <c:pt idx="20">
                  <c:v>Ульяновск </c:v>
                </c:pt>
                <c:pt idx="21">
                  <c:v>Старокулаткинский район</c:v>
                </c:pt>
                <c:pt idx="22">
                  <c:v>Новоульяновск </c:v>
                </c:pt>
                <c:pt idx="23">
                  <c:v>Барышский район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97.283876951307079</c:v>
                </c:pt>
                <c:pt idx="1">
                  <c:v>93.00734237429657</c:v>
                </c:pt>
                <c:pt idx="2">
                  <c:v>89.25903577673175</c:v>
                </c:pt>
                <c:pt idx="3">
                  <c:v>88.815010660815858</c:v>
                </c:pt>
                <c:pt idx="4">
                  <c:v>86.642377829951613</c:v>
                </c:pt>
                <c:pt idx="5">
                  <c:v>85.408272480296063</c:v>
                </c:pt>
                <c:pt idx="6">
                  <c:v>72.700411867531528</c:v>
                </c:pt>
                <c:pt idx="7">
                  <c:v>72.147502287802013</c:v>
                </c:pt>
                <c:pt idx="8">
                  <c:v>68.000001337995357</c:v>
                </c:pt>
                <c:pt idx="9">
                  <c:v>66.981748400703339</c:v>
                </c:pt>
                <c:pt idx="10">
                  <c:v>59.372670274597226</c:v>
                </c:pt>
                <c:pt idx="11">
                  <c:v>58.052852000916232</c:v>
                </c:pt>
                <c:pt idx="12">
                  <c:v>56.306090112912003</c:v>
                </c:pt>
                <c:pt idx="13">
                  <c:v>55.917558890852327</c:v>
                </c:pt>
                <c:pt idx="14">
                  <c:v>53.273472185088814</c:v>
                </c:pt>
                <c:pt idx="15">
                  <c:v>50.186721396584566</c:v>
                </c:pt>
                <c:pt idx="16">
                  <c:v>48.886901113722772</c:v>
                </c:pt>
                <c:pt idx="17">
                  <c:v>45.200902566005311</c:v>
                </c:pt>
                <c:pt idx="18">
                  <c:v>43.378628329302003</c:v>
                </c:pt>
                <c:pt idx="19">
                  <c:v>43.176643310419962</c:v>
                </c:pt>
                <c:pt idx="20">
                  <c:v>19.8480542730716</c:v>
                </c:pt>
                <c:pt idx="21">
                  <c:v>18.03404750578466</c:v>
                </c:pt>
                <c:pt idx="22">
                  <c:v>9.4410833991491643</c:v>
                </c:pt>
                <c:pt idx="23">
                  <c:v>8.4381184386972361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99584"/>
        <c:axId val="94909568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Сурский район</c:v>
                </c:pt>
                <c:pt idx="2">
                  <c:v>Новомалыклинский район</c:v>
                </c:pt>
                <c:pt idx="3">
                  <c:v>Инзенский район</c:v>
                </c:pt>
                <c:pt idx="4">
                  <c:v>Кузоватовский район </c:v>
                </c:pt>
                <c:pt idx="5">
                  <c:v>Цильнинский район</c:v>
                </c:pt>
                <c:pt idx="6">
                  <c:v>Новоспасский район</c:v>
                </c:pt>
                <c:pt idx="7">
                  <c:v>Карсунский район</c:v>
                </c:pt>
                <c:pt idx="8">
                  <c:v>Старомайнский район</c:v>
                </c:pt>
                <c:pt idx="9">
                  <c:v>Мелекесский район</c:v>
                </c:pt>
                <c:pt idx="10">
                  <c:v>Майнский район</c:v>
                </c:pt>
                <c:pt idx="11">
                  <c:v>Ульяновский район</c:v>
                </c:pt>
                <c:pt idx="12">
                  <c:v>Тереньгульский район</c:v>
                </c:pt>
                <c:pt idx="13">
                  <c:v>Сенгилеевский район</c:v>
                </c:pt>
                <c:pt idx="14">
                  <c:v>Радищевский район</c:v>
                </c:pt>
                <c:pt idx="15">
                  <c:v>Вешкаймский район </c:v>
                </c:pt>
                <c:pt idx="16">
                  <c:v>Николаевский район </c:v>
                </c:pt>
                <c:pt idx="17">
                  <c:v>Димитровград </c:v>
                </c:pt>
                <c:pt idx="18">
                  <c:v>Чердаклинский район</c:v>
                </c:pt>
                <c:pt idx="19">
                  <c:v>Павловский район</c:v>
                </c:pt>
                <c:pt idx="20">
                  <c:v>Ульяновск </c:v>
                </c:pt>
                <c:pt idx="21">
                  <c:v>Старокулаткинский район</c:v>
                </c:pt>
                <c:pt idx="22">
                  <c:v>Новоульяновск </c:v>
                </c:pt>
                <c:pt idx="23">
                  <c:v>Барышский район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912896"/>
        <c:axId val="94911104"/>
      </c:lineChart>
      <c:catAx>
        <c:axId val="948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4909568"/>
        <c:crossesAt val="0"/>
        <c:auto val="1"/>
        <c:lblAlgn val="ctr"/>
        <c:lblOffset val="100"/>
        <c:noMultiLvlLbl val="0"/>
      </c:catAx>
      <c:valAx>
        <c:axId val="94909568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4899584"/>
        <c:crosses val="autoZero"/>
        <c:crossBetween val="between"/>
        <c:majorUnit val="15"/>
      </c:valAx>
      <c:valAx>
        <c:axId val="94911104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94912896"/>
        <c:crosses val="max"/>
        <c:crossBetween val="between"/>
        <c:majorUnit val="15"/>
        <c:minorUnit val="5"/>
      </c:valAx>
      <c:catAx>
        <c:axId val="94912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4911104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237384194538063E-2"/>
          <c:y val="0.93535064315307692"/>
          <c:w val="0.7228560057631952"/>
          <c:h val="5.5833929849677881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0.0126</cdr:x>
      <cdr:y>0.12971</cdr:y>
    </cdr:from>
    <cdr:to>
      <cdr:x>0.04353</cdr:x>
      <cdr:y>0.15979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8334" y="742277"/>
          <a:ext cx="290457" cy="17212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0.06415</cdr:x>
      <cdr:y>0.21242</cdr:y>
    </cdr:from>
    <cdr:to>
      <cdr:x>0.08706</cdr:x>
      <cdr:y>0.23122</cdr:y>
    </cdr:to>
    <cdr:sp macro="" textlink="">
      <cdr:nvSpPr>
        <cdr:cNvPr id="3" name="Блок-схема: перфолента 2"/>
        <cdr:cNvSpPr/>
      </cdr:nvSpPr>
      <cdr:spPr>
        <a:xfrm xmlns:a="http://schemas.openxmlformats.org/drawingml/2006/main">
          <a:off x="602428" y="1215614"/>
          <a:ext cx="215154" cy="107576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7F97-8913-423E-9D18-D55B30F4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24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Гайнутдинов Дамир Рамильевич</cp:lastModifiedBy>
  <cp:revision>43</cp:revision>
  <cp:lastPrinted>2020-12-17T12:05:00Z</cp:lastPrinted>
  <dcterms:created xsi:type="dcterms:W3CDTF">2020-09-17T11:25:00Z</dcterms:created>
  <dcterms:modified xsi:type="dcterms:W3CDTF">2021-01-20T10:26:00Z</dcterms:modified>
</cp:coreProperties>
</file>