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8B0BCA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 xml:space="preserve"> январь</w:t>
            </w:r>
            <w:r w:rsidR="003542F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>21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 w:rsidR="004A3DFF"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4F6A21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16"/>
          <w:szCs w:val="16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34525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>, в том числе согласно информации, полученной из единой информационной системы в сфере закупок,</w:t>
      </w:r>
      <w:r w:rsidR="003860B4" w:rsidRPr="003860B4">
        <w:rPr>
          <w:rFonts w:ascii="PT Astra Serif" w:hAnsi="PT Astra Serif"/>
          <w:sz w:val="28"/>
          <w:szCs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>на диаграммах 1</w:t>
      </w:r>
      <w:r w:rsidR="00AE0F68" w:rsidRPr="00D04553">
        <w:rPr>
          <w:rFonts w:ascii="PT Astra Serif" w:hAnsi="PT Astra Serif"/>
          <w:sz w:val="28"/>
        </w:rPr>
        <w:t>-</w:t>
      </w:r>
      <w:r w:rsidR="003860B4" w:rsidRPr="003860B4">
        <w:rPr>
          <w:rFonts w:ascii="PT Astra Serif" w:hAnsi="PT Astra Serif"/>
          <w:sz w:val="28"/>
        </w:rPr>
        <w:t>10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отчету).</w:t>
      </w:r>
    </w:p>
    <w:p w:rsidR="00D67207" w:rsidRPr="004F6A21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региональной информационной </w:t>
      </w:r>
      <w:r w:rsidR="00FB3DD7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0A7693">
        <w:rPr>
          <w:rFonts w:ascii="PT Astra Serif" w:hAnsi="PT Astra Serif"/>
          <w:sz w:val="28"/>
          <w:szCs w:val="28"/>
        </w:rPr>
        <w:br/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«АЦК-Госзаказ» (далее </w:t>
      </w:r>
      <w:r w:rsidR="00FB3DD7">
        <w:rPr>
          <w:rFonts w:ascii="PT Astra Serif" w:hAnsi="PT Astra Serif"/>
          <w:sz w:val="28"/>
          <w:szCs w:val="28"/>
          <w:lang w:eastAsia="ru-RU"/>
        </w:rPr>
        <w:t>–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заказчики, Закон № 44-ФЗ</w:t>
      </w:r>
      <w:r w:rsidR="00FB3DD7">
        <w:rPr>
          <w:rFonts w:ascii="PT Astra Serif" w:hAnsi="PT Astra Serif"/>
          <w:sz w:val="28"/>
          <w:szCs w:val="28"/>
          <w:lang w:eastAsia="ru-RU"/>
        </w:rPr>
        <w:t>, РИС АЦК-Госзаказ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соответственно)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 xml:space="preserve">проведен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45</w:t>
      </w:r>
      <w:r w:rsidR="007A7A50" w:rsidRPr="00E424B1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 государственных заказчиков Ульяновской области на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на предмет наличия планов-графиков в единой информационной системе в сфере закупок (далее – ЕИС). </w:t>
      </w:r>
    </w:p>
    <w:p w:rsidR="007A7A50" w:rsidRDefault="007A7A50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345257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объеме экономии по проведенным конкурентным процедурам на бюджет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главных распорядителей бюджетных средств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источников финансирования 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F3774C" w:rsidRDefault="002324C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Информация</w:t>
      </w:r>
      <w:r>
        <w:rPr>
          <w:rFonts w:ascii="PT Astra Serif" w:hAnsi="PT Astra Serif"/>
          <w:sz w:val="28"/>
          <w:szCs w:val="28"/>
        </w:rPr>
        <w:t xml:space="preserve"> по мерам поддержки субъектов малого предпринимательства (в соответствии с перечнем поручений Правительств</w:t>
      </w:r>
      <w:r w:rsidR="00B0242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</w:t>
      </w:r>
      <w:r w:rsidR="004A3DFF">
        <w:rPr>
          <w:rFonts w:ascii="PT Astra Serif" w:hAnsi="PT Astra Serif"/>
          <w:sz w:val="28"/>
          <w:szCs w:val="28"/>
        </w:rPr>
        <w:t>Ф от 26.04.2020 № ММ-П43-4054кв</w:t>
      </w:r>
      <w:r>
        <w:rPr>
          <w:rFonts w:ascii="PT Astra Serif" w:hAnsi="PT Astra Serif"/>
          <w:sz w:val="28"/>
          <w:szCs w:val="28"/>
        </w:rPr>
        <w:t>)</w:t>
      </w:r>
      <w:r w:rsidR="00D52FC5" w:rsidRPr="00D52FC5">
        <w:rPr>
          <w:rFonts w:ascii="PT Astra Serif" w:hAnsi="PT Astra Serif"/>
          <w:sz w:val="28"/>
          <w:szCs w:val="28"/>
        </w:rPr>
        <w:t xml:space="preserve"> </w:t>
      </w:r>
      <w:r w:rsidR="00D52FC5">
        <w:rPr>
          <w:rFonts w:ascii="PT Astra Serif" w:hAnsi="PT Astra Serif"/>
          <w:sz w:val="28"/>
          <w:szCs w:val="28"/>
        </w:rPr>
        <w:t>(еженедельно)</w:t>
      </w:r>
      <w:r>
        <w:rPr>
          <w:rFonts w:ascii="PT Astra Serif" w:hAnsi="PT Astra Serif"/>
          <w:sz w:val="28"/>
          <w:szCs w:val="28"/>
        </w:rPr>
        <w:t>.</w:t>
      </w: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05E22" w:rsidRPr="00F67B64" w:rsidRDefault="00C05E22" w:rsidP="00C05E22">
      <w:pPr>
        <w:spacing w:after="0" w:line="240" w:lineRule="auto"/>
        <w:ind w:left="1069"/>
        <w:jc w:val="both"/>
        <w:rPr>
          <w:rFonts w:ascii="PT Astra Serif" w:hAnsi="PT Astra Serif"/>
          <w:sz w:val="16"/>
          <w:szCs w:val="16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lastRenderedPageBreak/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>осуществляется обучение/консультирование заказчиков</w:t>
      </w:r>
      <w:r w:rsidR="00630613">
        <w:rPr>
          <w:rFonts w:ascii="PT Astra Serif" w:hAnsi="PT Astra Serif"/>
          <w:sz w:val="28"/>
          <w:szCs w:val="28"/>
        </w:rPr>
        <w:t xml:space="preserve"> </w:t>
      </w:r>
      <w:r w:rsidRPr="009F725E">
        <w:rPr>
          <w:rFonts w:ascii="PT Astra Serif" w:hAnsi="PT Astra Serif"/>
          <w:sz w:val="28"/>
          <w:szCs w:val="28"/>
        </w:rPr>
        <w:t xml:space="preserve">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4A3DFF" w:rsidRDefault="004A3DFF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  <w:r w:rsidR="00E424B1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/>
                <w:sz w:val="24"/>
                <w:szCs w:val="24"/>
              </w:rPr>
              <w:t>Особенности планирования закупок товаров, работ, услуг на 2021 год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  <w:t>Обзор изменений и нововведений в Федеральный закон от 05.04.2013 № 44-ФЗ.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4A3DFF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 xml:space="preserve">1. </w:t>
            </w: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Применение единого структурированного справочника-каталога лекарственных препаратов для медицинского применения в единой информационной системе в сфере закупок.</w:t>
            </w:r>
          </w:p>
          <w:p w:rsidR="004A3DFF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</w:p>
          <w:p w:rsidR="00E424B1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2. Обзор решений УФАС по Ульяновской области, касающихся вопросов применения национального режима при осуществлении закупок.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630613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27.01.2021</w:t>
            </w:r>
          </w:p>
        </w:tc>
        <w:tc>
          <w:tcPr>
            <w:tcW w:w="5529" w:type="dxa"/>
          </w:tcPr>
          <w:p w:rsidR="00630613" w:rsidRDefault="00630613" w:rsidP="004A3D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Заведение новых казначейских счетов</w:t>
            </w:r>
          </w:p>
          <w:p w:rsidR="00630613" w:rsidRPr="004A3DFF" w:rsidRDefault="00630613" w:rsidP="004A3DFF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0613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1 группа</w:t>
            </w:r>
          </w:p>
          <w:p w:rsidR="004A3DFF" w:rsidRPr="004A3DFF" w:rsidRDefault="004A3DFF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E424B1" w:rsidRPr="004A3DFF" w:rsidRDefault="004A3DFF" w:rsidP="004A3DFF">
            <w:pPr>
              <w:spacing w:before="100" w:beforeAutospacing="1" w:after="100" w:afterAutospacing="1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E424B1" w:rsidRPr="004A3DFF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630613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2 группа</w:t>
            </w:r>
          </w:p>
          <w:p w:rsidR="00630613" w:rsidRPr="004A3DFF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630613" w:rsidRPr="004A3DFF" w:rsidRDefault="00630613" w:rsidP="00630613">
            <w:pPr>
              <w:spacing w:before="100" w:beforeAutospacing="1" w:after="100" w:afterAutospacing="1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630613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4A3DFF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4A3DFF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4A3DFF" w:rsidRDefault="00630613" w:rsidP="00D30D5E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428</w:t>
            </w:r>
          </w:p>
        </w:tc>
      </w:tr>
    </w:tbl>
    <w:p w:rsidR="00300929" w:rsidRDefault="00300929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РИС «АЦК-Госзаказ»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30613" w:rsidRPr="008516EF" w:rsidTr="00630613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B52CC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CB313B" w:rsidRPr="00CB313B">
        <w:rPr>
          <w:rFonts w:ascii="PT Astra Serif" w:hAnsi="PT Astra Serif"/>
          <w:color w:val="000000"/>
          <w:sz w:val="28"/>
          <w:szCs w:val="28"/>
        </w:rPr>
        <w:t>4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CB313B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Таблица 4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275"/>
        <w:gridCol w:w="1276"/>
        <w:gridCol w:w="2170"/>
      </w:tblGrid>
      <w:tr w:rsidR="007909B1" w:rsidRPr="008516EF" w:rsidTr="00D52FC5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D52FC5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D52FC5">
        <w:trPr>
          <w:jc w:val="center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D52FC5">
        <w:trPr>
          <w:trHeight w:val="73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6D71B5" w:rsidRDefault="007909B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E6139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238</w:t>
            </w:r>
          </w:p>
        </w:tc>
      </w:tr>
      <w:tr w:rsidR="00E61395" w:rsidRPr="008516EF" w:rsidTr="00D52FC5">
        <w:trPr>
          <w:trHeight w:val="69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6D71B5" w:rsidRDefault="00E61395" w:rsidP="00E61395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E61395" w:rsidP="00E6139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61395">
              <w:rPr>
                <w:rFonts w:ascii="PT Astra Serif" w:hAnsi="PT Astra Serif" w:cs="Arial"/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E61395" w:rsidP="00E6139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61395">
              <w:rPr>
                <w:rFonts w:ascii="PT Astra Serif" w:hAnsi="PT Astra Serif" w:cs="Arial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E61395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61395">
              <w:rPr>
                <w:rFonts w:ascii="PT Astra Serif" w:eastAsia="Times New Roman" w:hAnsi="PT Astra Serif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E61395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61395">
              <w:rPr>
                <w:rFonts w:ascii="PT Astra Serif" w:eastAsia="Times New Roman" w:hAnsi="PT Astra Serif"/>
                <w:b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E61395" w:rsidRDefault="00E61395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E61395">
              <w:rPr>
                <w:rFonts w:ascii="PT Astra Serif" w:eastAsia="Times New Roman" w:hAnsi="PT Astra Serif"/>
                <w:b/>
                <w:sz w:val="24"/>
                <w:szCs w:val="24"/>
              </w:rPr>
              <w:t>238</w:t>
            </w:r>
          </w:p>
        </w:tc>
      </w:tr>
    </w:tbl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сфере закупок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осуществлен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F4FC2" w:rsidRDefault="003035FA" w:rsidP="007F4FC2">
      <w:pPr>
        <w:pStyle w:val="a3"/>
        <w:numPr>
          <w:ilvl w:val="0"/>
          <w:numId w:val="26"/>
        </w:numPr>
        <w:tabs>
          <w:tab w:val="left" w:pos="12422"/>
        </w:tabs>
        <w:spacing w:after="0" w:line="240" w:lineRule="auto"/>
        <w:ind w:left="0" w:hanging="632"/>
        <w:jc w:val="center"/>
        <w:rPr>
          <w:rFonts w:ascii="Times New Roman" w:hAnsi="Times New Roman"/>
          <w:b/>
          <w:sz w:val="28"/>
          <w:szCs w:val="28"/>
        </w:rPr>
      </w:pPr>
      <w:r w:rsidRPr="003035FA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</w:p>
    <w:p w:rsidR="003035FA" w:rsidRPr="003035FA" w:rsidRDefault="003035FA" w:rsidP="007F4FC2">
      <w:pPr>
        <w:pStyle w:val="a3"/>
        <w:tabs>
          <w:tab w:val="left" w:pos="1242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ОГКУ «Центр по сопровождению закупок» осуществляется 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 xml:space="preserve">заключённых заказчиками контрактов, размещённых в единой информационной системе в сфере закупок в соответствии с 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 xml:space="preserve">Законом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№ 44-ФЗ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7F4FC2" w:rsidRPr="007F4FC2" w:rsidRDefault="007F4FC2" w:rsidP="007F4FC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Анализ </w:t>
      </w:r>
      <w:r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проводится за определённый временной промежуток в разрезе закупок Ульяновской области и/или в сравнении с закупками Приволжского Федерального округа и по России в целом. </w:t>
      </w:r>
    </w:p>
    <w:p w:rsidR="003035FA" w:rsidRDefault="003035F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50184" w:rsidRDefault="007F4FC2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="00AF3B54" w:rsidRPr="004C18E2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Осуществление постоянного взаимодействия с федеральным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орган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ами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по вопросам закупок</w:t>
      </w:r>
    </w:p>
    <w:p w:rsidR="00AF3B54" w:rsidRDefault="007F4FC2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="00AF3B54"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 w:rsid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4632E" w:rsidRPr="0084632E" w:rsidRDefault="00350184" w:rsidP="0084632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 xml:space="preserve">-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14.01.2021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подготовлены и направлены сведения от Ульяновской области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для расчёта Рейтинга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эффективности и прозрачности закупочных систем регионов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РФ за 2020 год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(от 1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59исх.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9E2405" w:rsidRPr="00F1231A" w:rsidRDefault="009E2405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842DB" w:rsidRDefault="000842DB" w:rsidP="00802B9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0842DB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2C0F49" w:rsidP="00111E7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737E84D" wp14:editId="49811268">
            <wp:extent cx="9448800" cy="5772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  <w:r w:rsidR="00503C0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37.8pt;margin-top:-40.4pt;width:96.15pt;height:39.75pt;z-index:251658752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0">
              <w:txbxContent>
                <w:p w:rsidR="00647DE8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647DE8" w:rsidRPr="000842DB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аграмма1</w:t>
                  </w:r>
                </w:p>
              </w:txbxContent>
            </v:textbox>
          </v:shape>
        </w:pict>
      </w:r>
    </w:p>
    <w:p w:rsidR="00B52CCB" w:rsidRDefault="00B52CCB" w:rsidP="00111E7E">
      <w:pPr>
        <w:rPr>
          <w:noProof/>
          <w:lang w:eastAsia="ru-RU"/>
        </w:rPr>
      </w:pPr>
    </w:p>
    <w:p w:rsidR="00D04553" w:rsidRDefault="00503C02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115" type="#_x0000_t202" style="position:absolute;margin-left:647.8pt;margin-top:-18.35pt;width:101pt;height:32.7pt;z-index:251666944" stroked="f">
            <v:textbox style="mso-next-textbox:#_x0000_s1115">
              <w:txbxContent>
                <w:p w:rsidR="00647DE8" w:rsidRPr="00937DDA" w:rsidRDefault="00647DE8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</w:p>
    <w:p w:rsidR="00B52CCB" w:rsidRDefault="002C0F49" w:rsidP="00FC2EE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2B7DA7" wp14:editId="1980373A">
            <wp:extent cx="9420225" cy="5695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CC8" w:rsidRDefault="002C0F49" w:rsidP="00FC2EE9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E55CF8" wp14:editId="15D9A623">
            <wp:extent cx="9382125" cy="5153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03C02">
        <w:rPr>
          <w:noProof/>
          <w:lang w:eastAsia="ru-RU"/>
        </w:rPr>
        <w:pict>
          <v:shape id="_x0000_s1074" type="#_x0000_t202" style="position:absolute;margin-left:652.05pt;margin-top:-34.4pt;width:101pt;height:32.7pt;z-index:251656704;mso-position-horizontal-relative:text;mso-position-vertical-relative:text" stroked="f">
            <v:textbox style="mso-next-textbox:#_x0000_s1074">
              <w:txbxContent>
                <w:p w:rsidR="00647DE8" w:rsidRPr="00937DDA" w:rsidRDefault="00647DE8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3</w:t>
                  </w:r>
                </w:p>
              </w:txbxContent>
            </v:textbox>
          </v:shape>
        </w:pict>
      </w:r>
    </w:p>
    <w:p w:rsidR="006F2CC8" w:rsidRDefault="00503C02" w:rsidP="00FC2EE9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090" type="#_x0000_t202" style="position:absolute;margin-left:-5.2pt;margin-top:1.7pt;width:758.25pt;height:43.5pt;z-index:251662848;mso-position-horizontal-relative:text;mso-position-vertical-relative:text" stroked="f">
            <v:textbox style="mso-next-textbox:#_x0000_s1090">
              <w:txbxContent>
                <w:p w:rsidR="00647DE8" w:rsidRPr="008B53EE" w:rsidRDefault="00647DE8" w:rsidP="00ED3AB7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  <w:r>
                    <w:rPr>
                      <w:rFonts w:ascii="PT Astra Serif" w:hAnsi="PT Astra Serif"/>
                    </w:rPr>
                    <w:t xml:space="preserve"> (как через уполномоченный орган, так и самостоятельно заказчиками)</w:t>
                  </w:r>
                </w:p>
              </w:txbxContent>
            </v:textbox>
          </v:shape>
        </w:pict>
      </w:r>
    </w:p>
    <w:p w:rsidR="00B52CCB" w:rsidRDefault="00503C02" w:rsidP="00FC2EE9">
      <w:r>
        <w:rPr>
          <w:noProof/>
          <w:lang w:eastAsia="ru-RU"/>
        </w:rPr>
        <w:lastRenderedPageBreak/>
        <w:pict>
          <v:shape id="_x0000_s1066" type="#_x0000_t202" style="position:absolute;margin-left:641.55pt;margin-top:-28.45pt;width:91.25pt;height:27.75pt;z-index:251651584;mso-position-horizontal-relative:text;mso-position-vertical-relative:text" stroked="f">
            <v:textbox style="mso-next-textbox:#_x0000_s1066">
              <w:txbxContent>
                <w:p w:rsidR="00647DE8" w:rsidRPr="00937DDA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4</w:t>
                  </w:r>
                </w:p>
              </w:txbxContent>
            </v:textbox>
          </v:shape>
        </w:pict>
      </w:r>
      <w:r w:rsidR="00863C60">
        <w:rPr>
          <w:noProof/>
          <w:lang w:eastAsia="ru-RU"/>
        </w:rPr>
        <w:drawing>
          <wp:inline distT="0" distB="0" distL="0" distR="0">
            <wp:extent cx="9631045" cy="5096688"/>
            <wp:effectExtent l="0" t="0" r="0" b="0"/>
            <wp:docPr id="5" name="Рисунок 5" descr="C:\Users\Gaynutdinov\Desktop\2021\огку 2021\для отчета\грбс процедуры прави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nutdinov\Desktop\2021\огку 2021\для отчета\грбс процедуры правильна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0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B" w:rsidRPr="00395057" w:rsidRDefault="00503C02" w:rsidP="00395057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117" type="#_x0000_t202" style="position:absolute;margin-left:9.75pt;margin-top:10.6pt;width:756.85pt;height:37.5pt;z-index:251667968;mso-position-horizontal-relative:text;mso-position-vertical-relative:text" stroked="f">
            <v:textbox style="mso-next-textbox:#_x0000_s1117">
              <w:txbxContent>
                <w:p w:rsidR="00647DE8" w:rsidRPr="008B53EE" w:rsidRDefault="00647DE8" w:rsidP="00CB7043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 xml:space="preserve">* </w:t>
                  </w:r>
                  <w:r>
                    <w:rPr>
                      <w:rFonts w:ascii="PT Astra Serif" w:hAnsi="PT Astra Serif"/>
                    </w:rPr>
                    <w:t>закупки, проведенные как через уполномоченный орган, так и самостоятельно заказчиками</w:t>
                  </w:r>
                </w:p>
                <w:p w:rsidR="00647DE8" w:rsidRPr="008B53EE" w:rsidRDefault="00647DE8" w:rsidP="00823BF0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</w:p>
    <w:p w:rsidR="000C3C6A" w:rsidRPr="000C3C6A" w:rsidRDefault="008B0BCA" w:rsidP="000C3C6A">
      <w:pPr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20200" cy="5905500"/>
            <wp:effectExtent l="0" t="0" r="0" b="0"/>
            <wp:docPr id="8" name="Рисунок 8" descr="Z:\ОТДЕЛ МОНИТОРИНГА И ОТЧЕТНОСТИ\!!!ОТЧЁТ 2021\огку 2021\январь\для отчета\м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МОНИТОРИНГА И ОТЧЕТНОСТИ\!!!ОТЧЁТ 2021\огку 2021\январь\для отчета\мз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C02">
        <w:rPr>
          <w:noProof/>
          <w:lang w:eastAsia="ru-RU"/>
        </w:rPr>
        <w:pict>
          <v:shape id="_x0000_s1113" type="#_x0000_t202" style="position:absolute;left:0;text-align:left;margin-left:652.8pt;margin-top:-23.9pt;width:91.25pt;height:27.75pt;z-index:251665920;mso-position-horizontal-relative:text;mso-position-vertical-relative:text" stroked="f">
            <v:textbox style="mso-next-textbox:#_x0000_s1113">
              <w:txbxContent>
                <w:p w:rsidR="00647DE8" w:rsidRPr="00937DDA" w:rsidRDefault="00647DE8" w:rsidP="000C3C6A">
                  <w:pPr>
                    <w:rPr>
                      <w:rFonts w:ascii="PT Astra Serif" w:hAnsi="PT Astra Serif"/>
                      <w:sz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</w:rPr>
                    <w:t xml:space="preserve">Диаграмма </w:t>
                  </w:r>
                  <w:r>
                    <w:rPr>
                      <w:rFonts w:ascii="PT Astra Serif" w:hAnsi="PT Astra Serif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B52CCB" w:rsidRDefault="00B52CCB" w:rsidP="00111E7E">
      <w:pPr>
        <w:tabs>
          <w:tab w:val="left" w:pos="2160"/>
        </w:tabs>
        <w:rPr>
          <w:noProof/>
          <w:lang w:eastAsia="ru-RU"/>
        </w:rPr>
      </w:pPr>
    </w:p>
    <w:p w:rsidR="00D04553" w:rsidRDefault="00863C60" w:rsidP="00111E7E">
      <w:pPr>
        <w:tabs>
          <w:tab w:val="left" w:pos="216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05950" cy="6438900"/>
            <wp:effectExtent l="0" t="0" r="0" b="0"/>
            <wp:docPr id="6" name="Рисунок 6" descr="C:\Users\Gaynutdinov\Desktop\2021\огку 2021\для отчета\просв прави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ynutdinov\Desktop\2021\огку 2021\для отчета\просв правильная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C02">
        <w:rPr>
          <w:noProof/>
          <w:lang w:eastAsia="ru-RU"/>
        </w:rPr>
        <w:pict>
          <v:shape id="_x0000_s1068" type="#_x0000_t202" style="position:absolute;margin-left:625.8pt;margin-top:-26.15pt;width:95.35pt;height:28.05pt;z-index:251653632;mso-position-horizontal-relative:text;mso-position-vertical-relative:text" stroked="f">
            <v:textbox style="mso-next-textbox:#_x0000_s1068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6</w:t>
                  </w:r>
                </w:p>
              </w:txbxContent>
            </v:textbox>
          </v:shape>
        </w:pict>
      </w:r>
    </w:p>
    <w:p w:rsidR="00B52CCB" w:rsidRDefault="008B0BCA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34450" cy="6524625"/>
            <wp:effectExtent l="0" t="0" r="0" b="0"/>
            <wp:docPr id="10" name="Рисунок 10" descr="Z:\ОТДЕЛ МОНИТОРИНГА И ОТЧЕТНОСТИ\!!!ОТЧЁТ 2021\огку 2021\январь\для отчета\при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МОНИТОРИНГА И ОТЧЕТНОСТИ\!!!ОТЧЁТ 2021\огку 2021\январь\для отчета\природ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C02">
        <w:rPr>
          <w:noProof/>
          <w:lang w:eastAsia="ru-RU"/>
        </w:rPr>
        <w:pict>
          <v:shape id="_x0000_s1069" type="#_x0000_t202" style="position:absolute;margin-left:614.85pt;margin-top:-26pt;width:94.45pt;height:25.25pt;z-index:251654656;mso-position-horizontal-relative:text;mso-position-vertical-relative:text" stroked="f">
            <v:textbox style="mso-next-textbox:#_x0000_s1069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</w:t>
                  </w:r>
                  <w:r w:rsidRPr="001E1A38">
                    <w:rPr>
                      <w:rFonts w:ascii="PT Astra Serif" w:hAnsi="PT Astra Serif"/>
                      <w:sz w:val="28"/>
                    </w:rPr>
                    <w:t>гра</w:t>
                  </w:r>
                  <w:r>
                    <w:rPr>
                      <w:rFonts w:ascii="PT Astra Serif" w:hAnsi="PT Astra Serif"/>
                      <w:sz w:val="28"/>
                    </w:rPr>
                    <w:t>мма 7</w:t>
                  </w:r>
                </w:p>
              </w:txbxContent>
            </v:textbox>
          </v:shape>
        </w:pict>
      </w:r>
    </w:p>
    <w:p w:rsidR="00ED3AB7" w:rsidRDefault="008B0BCA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01100" cy="6438900"/>
            <wp:effectExtent l="0" t="0" r="0" b="0"/>
            <wp:docPr id="12" name="Рисунок 12" descr="Z:\ОТДЕЛ МОНИТОРИНГА И ОТЧЕТНОСТИ\!!!ОТЧЁТ 2021\огку 2021\январь\для отчета\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МОНИТОРИНГА И ОТЧЕТНОСТИ\!!!ОТЧЁТ 2021\огку 2021\январь\для отчета\стро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C02">
        <w:rPr>
          <w:noProof/>
          <w:lang w:eastAsia="ru-RU"/>
        </w:rPr>
        <w:pict>
          <v:shape id="_x0000_s1070" type="#_x0000_t202" style="position:absolute;margin-left:599.35pt;margin-top:-25.85pt;width:102.85pt;height:25.3pt;z-index:251655680;mso-position-horizontal-relative:text;mso-position-vertical-relative:text" stroked="f">
            <v:textbox style="mso-next-textbox:#_x0000_s1070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8</w:t>
                  </w:r>
                </w:p>
              </w:txbxContent>
            </v:textbox>
          </v:shape>
        </w:pict>
      </w:r>
    </w:p>
    <w:p w:rsidR="00D63609" w:rsidRDefault="008B0BCA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6D017C" wp14:editId="2BDEFAF1">
            <wp:extent cx="9361170" cy="556807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503C02">
        <w:rPr>
          <w:rFonts w:ascii="PT Astra Serif" w:hAnsi="PT Astra Serif"/>
          <w:noProof/>
          <w:lang w:eastAsia="ru-RU"/>
        </w:rPr>
        <w:pict>
          <v:shape id="Надпись 2" o:spid="_x0000_s1055" type="#_x0000_t202" style="position:absolute;margin-left:628.8pt;margin-top:-23.15pt;width:93.75pt;height:22.5pt;z-index:2516495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Надпись 2">
              <w:txbxContent>
                <w:p w:rsidR="00647DE8" w:rsidRPr="000842DB" w:rsidRDefault="00647DE8" w:rsidP="00433442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иаграмма9</w:t>
                  </w:r>
                </w:p>
              </w:txbxContent>
            </v:textbox>
          </v:shape>
        </w:pict>
      </w:r>
      <w:r w:rsidR="00503C02">
        <w:rPr>
          <w:rFonts w:ascii="PT Astra Serif" w:hAnsi="PT Astra Serif"/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7" type="#_x0000_t122" style="position:absolute;margin-left:661.05pt;margin-top:105.85pt;width:19.6pt;height:13.5pt;z-index:251661824;mso-position-horizontal-relative:text;mso-position-vertical-relative:text" stroked="f"/>
        </w:pict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D04553" w:rsidRDefault="008B0BCA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CEE113" wp14:editId="249D4CD4">
            <wp:extent cx="9982200" cy="5562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03C02">
        <w:rPr>
          <w:noProof/>
          <w:lang w:eastAsia="ru-RU"/>
        </w:rPr>
        <w:pict>
          <v:shape id="_x0000_s1081" type="#_x0000_t202" style="position:absolute;margin-left:599.55pt;margin-top:-30.65pt;width:137.25pt;height:22.5pt;z-index:25165977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1">
              <w:txbxContent>
                <w:p w:rsidR="00647DE8" w:rsidRPr="00C55D97" w:rsidRDefault="00647DE8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10</w:t>
                  </w:r>
                </w:p>
              </w:txbxContent>
            </v:textbox>
          </v:shape>
        </w:pict>
      </w:r>
    </w:p>
    <w:p w:rsidR="00727248" w:rsidRPr="00727248" w:rsidRDefault="00503C02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 id="_x0000_s1082" type="#_x0000_t202" style="position:absolute;margin-left:8.25pt;margin-top:2.65pt;width:756.85pt;height:39.75pt;z-index:251660800" stroked="f">
            <v:textbox style="mso-next-textbox:#_x0000_s1082">
              <w:txbxContent>
                <w:p w:rsidR="00647DE8" w:rsidRPr="008B53EE" w:rsidRDefault="00647DE8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</w:p>
              </w:txbxContent>
            </v:textbox>
          </v:shape>
        </w:pic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E8" w:rsidRDefault="00647DE8" w:rsidP="008952FF">
      <w:pPr>
        <w:spacing w:after="0" w:line="240" w:lineRule="auto"/>
      </w:pPr>
      <w:r>
        <w:separator/>
      </w:r>
    </w:p>
  </w:endnote>
  <w:endnote w:type="continuationSeparator" w:id="0">
    <w:p w:rsidR="00647DE8" w:rsidRDefault="00647DE8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E8" w:rsidRDefault="00647DE8" w:rsidP="008952FF">
      <w:pPr>
        <w:spacing w:after="0" w:line="240" w:lineRule="auto"/>
      </w:pPr>
      <w:r>
        <w:separator/>
      </w:r>
    </w:p>
  </w:footnote>
  <w:footnote w:type="continuationSeparator" w:id="0">
    <w:p w:rsidR="00647DE8" w:rsidRDefault="00647DE8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E8" w:rsidRPr="00F64629" w:rsidRDefault="00647DE8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503C02">
      <w:rPr>
        <w:rFonts w:ascii="Times New Roman" w:hAnsi="Times New Roman"/>
        <w:noProof/>
        <w:sz w:val="28"/>
        <w:szCs w:val="28"/>
      </w:rPr>
      <w:t>15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7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7"/>
  </w:num>
  <w:num w:numId="5">
    <w:abstractNumId w:val="19"/>
  </w:num>
  <w:num w:numId="6">
    <w:abstractNumId w:val="18"/>
  </w:num>
  <w:num w:numId="7">
    <w:abstractNumId w:val="12"/>
  </w:num>
  <w:num w:numId="8">
    <w:abstractNumId w:val="4"/>
  </w:num>
  <w:num w:numId="9">
    <w:abstractNumId w:val="10"/>
  </w:num>
  <w:num w:numId="10">
    <w:abstractNumId w:val="16"/>
  </w:num>
  <w:num w:numId="11">
    <w:abstractNumId w:val="5"/>
  </w:num>
  <w:num w:numId="12">
    <w:abstractNumId w:val="3"/>
  </w:num>
  <w:num w:numId="13">
    <w:abstractNumId w:val="0"/>
  </w:num>
  <w:num w:numId="14">
    <w:abstractNumId w:val="25"/>
  </w:num>
  <w:num w:numId="15">
    <w:abstractNumId w:val="6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2"/>
  </w:num>
  <w:num w:numId="21">
    <w:abstractNumId w:val="23"/>
  </w:num>
  <w:num w:numId="22">
    <w:abstractNumId w:val="24"/>
  </w:num>
  <w:num w:numId="23">
    <w:abstractNumId w:val="1"/>
  </w:num>
  <w:num w:numId="24">
    <w:abstractNumId w:val="21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EA"/>
    <w:rsid w:val="000015EC"/>
    <w:rsid w:val="0001273A"/>
    <w:rsid w:val="00013CCE"/>
    <w:rsid w:val="00014AA7"/>
    <w:rsid w:val="000215D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E11"/>
    <w:rsid w:val="00072A3B"/>
    <w:rsid w:val="00077D8B"/>
    <w:rsid w:val="000802B3"/>
    <w:rsid w:val="00080B38"/>
    <w:rsid w:val="000842DB"/>
    <w:rsid w:val="000871B9"/>
    <w:rsid w:val="00091DAA"/>
    <w:rsid w:val="000A314F"/>
    <w:rsid w:val="000A5818"/>
    <w:rsid w:val="000A6F49"/>
    <w:rsid w:val="000A7693"/>
    <w:rsid w:val="000B19FE"/>
    <w:rsid w:val="000B31F5"/>
    <w:rsid w:val="000B4EE7"/>
    <w:rsid w:val="000B72B6"/>
    <w:rsid w:val="000B76FC"/>
    <w:rsid w:val="000C3B63"/>
    <w:rsid w:val="000C3C6A"/>
    <w:rsid w:val="000D2292"/>
    <w:rsid w:val="000D277A"/>
    <w:rsid w:val="000D40CD"/>
    <w:rsid w:val="000D7F3F"/>
    <w:rsid w:val="000E08FE"/>
    <w:rsid w:val="000E6746"/>
    <w:rsid w:val="000F0AD6"/>
    <w:rsid w:val="000F1080"/>
    <w:rsid w:val="000F2E9D"/>
    <w:rsid w:val="000F3F81"/>
    <w:rsid w:val="000F7CD3"/>
    <w:rsid w:val="00105AEB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374D"/>
    <w:rsid w:val="00161EB1"/>
    <w:rsid w:val="001630B0"/>
    <w:rsid w:val="00164CF2"/>
    <w:rsid w:val="00166664"/>
    <w:rsid w:val="0017734B"/>
    <w:rsid w:val="00186ED8"/>
    <w:rsid w:val="001A0161"/>
    <w:rsid w:val="001A687C"/>
    <w:rsid w:val="001B7927"/>
    <w:rsid w:val="001C0A2F"/>
    <w:rsid w:val="001C2479"/>
    <w:rsid w:val="001C5E79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A22"/>
    <w:rsid w:val="002043D6"/>
    <w:rsid w:val="002123AE"/>
    <w:rsid w:val="002146B9"/>
    <w:rsid w:val="00214742"/>
    <w:rsid w:val="00222BCF"/>
    <w:rsid w:val="00224612"/>
    <w:rsid w:val="002253E4"/>
    <w:rsid w:val="0022583F"/>
    <w:rsid w:val="00226E74"/>
    <w:rsid w:val="002324CC"/>
    <w:rsid w:val="00232C7A"/>
    <w:rsid w:val="00234F4D"/>
    <w:rsid w:val="002461E0"/>
    <w:rsid w:val="00262501"/>
    <w:rsid w:val="00264C27"/>
    <w:rsid w:val="00266187"/>
    <w:rsid w:val="002721C8"/>
    <w:rsid w:val="002723FA"/>
    <w:rsid w:val="002834DD"/>
    <w:rsid w:val="0028362A"/>
    <w:rsid w:val="002A1E86"/>
    <w:rsid w:val="002A2D36"/>
    <w:rsid w:val="002A5A84"/>
    <w:rsid w:val="002B5673"/>
    <w:rsid w:val="002C0DB5"/>
    <w:rsid w:val="002C0F49"/>
    <w:rsid w:val="002C4E3F"/>
    <w:rsid w:val="002D0AE4"/>
    <w:rsid w:val="002D4E74"/>
    <w:rsid w:val="002D727A"/>
    <w:rsid w:val="002D7BBA"/>
    <w:rsid w:val="002E24A8"/>
    <w:rsid w:val="002E44B0"/>
    <w:rsid w:val="002F19A8"/>
    <w:rsid w:val="002F3A58"/>
    <w:rsid w:val="002F65CD"/>
    <w:rsid w:val="002F7642"/>
    <w:rsid w:val="00300929"/>
    <w:rsid w:val="003035FA"/>
    <w:rsid w:val="00313804"/>
    <w:rsid w:val="00313E37"/>
    <w:rsid w:val="00315E00"/>
    <w:rsid w:val="003221D2"/>
    <w:rsid w:val="003253BD"/>
    <w:rsid w:val="00326EF3"/>
    <w:rsid w:val="003331B3"/>
    <w:rsid w:val="00335E81"/>
    <w:rsid w:val="00337F86"/>
    <w:rsid w:val="00342CE2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6DFF"/>
    <w:rsid w:val="0036782A"/>
    <w:rsid w:val="003708AE"/>
    <w:rsid w:val="00371DB0"/>
    <w:rsid w:val="003722B8"/>
    <w:rsid w:val="00376EEE"/>
    <w:rsid w:val="0038157C"/>
    <w:rsid w:val="003860B4"/>
    <w:rsid w:val="00395057"/>
    <w:rsid w:val="003971B5"/>
    <w:rsid w:val="003A7BB7"/>
    <w:rsid w:val="003B2E21"/>
    <w:rsid w:val="003B41D2"/>
    <w:rsid w:val="003B6D48"/>
    <w:rsid w:val="003B7283"/>
    <w:rsid w:val="003C27BB"/>
    <w:rsid w:val="003D1747"/>
    <w:rsid w:val="003D5C8A"/>
    <w:rsid w:val="003E0B6D"/>
    <w:rsid w:val="003E44A5"/>
    <w:rsid w:val="003E468B"/>
    <w:rsid w:val="003E5D0D"/>
    <w:rsid w:val="003E630B"/>
    <w:rsid w:val="003E79DE"/>
    <w:rsid w:val="003F2A7F"/>
    <w:rsid w:val="003F30CD"/>
    <w:rsid w:val="003F3BFD"/>
    <w:rsid w:val="004007EA"/>
    <w:rsid w:val="0040106C"/>
    <w:rsid w:val="00404FE6"/>
    <w:rsid w:val="00407247"/>
    <w:rsid w:val="004105F7"/>
    <w:rsid w:val="004159E6"/>
    <w:rsid w:val="00421278"/>
    <w:rsid w:val="00422CFA"/>
    <w:rsid w:val="00423200"/>
    <w:rsid w:val="00424062"/>
    <w:rsid w:val="00431B01"/>
    <w:rsid w:val="00433037"/>
    <w:rsid w:val="00433442"/>
    <w:rsid w:val="0043570B"/>
    <w:rsid w:val="00441851"/>
    <w:rsid w:val="00441C62"/>
    <w:rsid w:val="00442A69"/>
    <w:rsid w:val="00443EBA"/>
    <w:rsid w:val="00452BC1"/>
    <w:rsid w:val="0046198A"/>
    <w:rsid w:val="00471F16"/>
    <w:rsid w:val="004742E6"/>
    <w:rsid w:val="004767B6"/>
    <w:rsid w:val="0048279F"/>
    <w:rsid w:val="00485C32"/>
    <w:rsid w:val="00487C26"/>
    <w:rsid w:val="004922FE"/>
    <w:rsid w:val="00493915"/>
    <w:rsid w:val="004A038D"/>
    <w:rsid w:val="004A3682"/>
    <w:rsid w:val="004A3DFF"/>
    <w:rsid w:val="004A5548"/>
    <w:rsid w:val="004A6108"/>
    <w:rsid w:val="004A6C5E"/>
    <w:rsid w:val="004B2292"/>
    <w:rsid w:val="004C18E2"/>
    <w:rsid w:val="004C40C9"/>
    <w:rsid w:val="004D3491"/>
    <w:rsid w:val="004D57AD"/>
    <w:rsid w:val="004D5B29"/>
    <w:rsid w:val="004D7B14"/>
    <w:rsid w:val="004E1390"/>
    <w:rsid w:val="004E1A30"/>
    <w:rsid w:val="004E7E55"/>
    <w:rsid w:val="004F292F"/>
    <w:rsid w:val="004F3A0B"/>
    <w:rsid w:val="004F5F56"/>
    <w:rsid w:val="004F6A21"/>
    <w:rsid w:val="005001FE"/>
    <w:rsid w:val="0050112C"/>
    <w:rsid w:val="00503C02"/>
    <w:rsid w:val="005111BC"/>
    <w:rsid w:val="00511920"/>
    <w:rsid w:val="00511A08"/>
    <w:rsid w:val="00521F29"/>
    <w:rsid w:val="00523AA5"/>
    <w:rsid w:val="00542DEA"/>
    <w:rsid w:val="005445C3"/>
    <w:rsid w:val="005454A2"/>
    <w:rsid w:val="00545848"/>
    <w:rsid w:val="005515C9"/>
    <w:rsid w:val="005547F1"/>
    <w:rsid w:val="0055669D"/>
    <w:rsid w:val="005633B1"/>
    <w:rsid w:val="005645B8"/>
    <w:rsid w:val="00581E7F"/>
    <w:rsid w:val="00584E6B"/>
    <w:rsid w:val="00594A6D"/>
    <w:rsid w:val="005976FC"/>
    <w:rsid w:val="00597D99"/>
    <w:rsid w:val="005A07CE"/>
    <w:rsid w:val="005A5B68"/>
    <w:rsid w:val="005A661C"/>
    <w:rsid w:val="005A6882"/>
    <w:rsid w:val="005D5EFF"/>
    <w:rsid w:val="005D6C8B"/>
    <w:rsid w:val="005E032E"/>
    <w:rsid w:val="005E7EDF"/>
    <w:rsid w:val="005F2D59"/>
    <w:rsid w:val="0060120C"/>
    <w:rsid w:val="00604586"/>
    <w:rsid w:val="00604912"/>
    <w:rsid w:val="00610F4A"/>
    <w:rsid w:val="006133C8"/>
    <w:rsid w:val="006134AA"/>
    <w:rsid w:val="006217FD"/>
    <w:rsid w:val="0062232F"/>
    <w:rsid w:val="006226C1"/>
    <w:rsid w:val="00626E6A"/>
    <w:rsid w:val="00630613"/>
    <w:rsid w:val="0063105D"/>
    <w:rsid w:val="0063764D"/>
    <w:rsid w:val="00637B45"/>
    <w:rsid w:val="0064225D"/>
    <w:rsid w:val="00647DE8"/>
    <w:rsid w:val="00653F5E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05A"/>
    <w:rsid w:val="006B3BEC"/>
    <w:rsid w:val="006B3C18"/>
    <w:rsid w:val="006D01B5"/>
    <w:rsid w:val="006D71B5"/>
    <w:rsid w:val="006D7B5F"/>
    <w:rsid w:val="006E084E"/>
    <w:rsid w:val="006E7462"/>
    <w:rsid w:val="006E7CEA"/>
    <w:rsid w:val="006F2CC8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F0"/>
    <w:rsid w:val="0075595E"/>
    <w:rsid w:val="00755D5E"/>
    <w:rsid w:val="00757A9B"/>
    <w:rsid w:val="00757E6D"/>
    <w:rsid w:val="007617AD"/>
    <w:rsid w:val="00763460"/>
    <w:rsid w:val="00766A1D"/>
    <w:rsid w:val="00767282"/>
    <w:rsid w:val="007716E6"/>
    <w:rsid w:val="007734E6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B664D"/>
    <w:rsid w:val="007C1C1C"/>
    <w:rsid w:val="007D2001"/>
    <w:rsid w:val="007D7599"/>
    <w:rsid w:val="007E430A"/>
    <w:rsid w:val="007F2B11"/>
    <w:rsid w:val="007F3C63"/>
    <w:rsid w:val="007F4548"/>
    <w:rsid w:val="007F4FC2"/>
    <w:rsid w:val="00802B91"/>
    <w:rsid w:val="00805AE8"/>
    <w:rsid w:val="00806706"/>
    <w:rsid w:val="0081000B"/>
    <w:rsid w:val="00814EF5"/>
    <w:rsid w:val="00817EB0"/>
    <w:rsid w:val="00823BF0"/>
    <w:rsid w:val="008264FE"/>
    <w:rsid w:val="008275DD"/>
    <w:rsid w:val="00831ADA"/>
    <w:rsid w:val="0084632E"/>
    <w:rsid w:val="008516EF"/>
    <w:rsid w:val="00853844"/>
    <w:rsid w:val="00863C60"/>
    <w:rsid w:val="00864418"/>
    <w:rsid w:val="0086657D"/>
    <w:rsid w:val="0086763C"/>
    <w:rsid w:val="00881582"/>
    <w:rsid w:val="0088463E"/>
    <w:rsid w:val="008851F4"/>
    <w:rsid w:val="0088708A"/>
    <w:rsid w:val="00891001"/>
    <w:rsid w:val="00891846"/>
    <w:rsid w:val="00891A70"/>
    <w:rsid w:val="00894B67"/>
    <w:rsid w:val="008952FF"/>
    <w:rsid w:val="008A79A1"/>
    <w:rsid w:val="008B0BCA"/>
    <w:rsid w:val="008B1BF8"/>
    <w:rsid w:val="008B53EE"/>
    <w:rsid w:val="008B6646"/>
    <w:rsid w:val="008D0A97"/>
    <w:rsid w:val="008D6674"/>
    <w:rsid w:val="008E1B30"/>
    <w:rsid w:val="008E773D"/>
    <w:rsid w:val="008F11B7"/>
    <w:rsid w:val="008F7283"/>
    <w:rsid w:val="009024DE"/>
    <w:rsid w:val="00910E5F"/>
    <w:rsid w:val="0092067E"/>
    <w:rsid w:val="009279E6"/>
    <w:rsid w:val="00930891"/>
    <w:rsid w:val="00932293"/>
    <w:rsid w:val="009337CE"/>
    <w:rsid w:val="009360F1"/>
    <w:rsid w:val="009361B7"/>
    <w:rsid w:val="0093629A"/>
    <w:rsid w:val="00937DDA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F5"/>
    <w:rsid w:val="009A41F9"/>
    <w:rsid w:val="009B0E5D"/>
    <w:rsid w:val="009B16D6"/>
    <w:rsid w:val="009B23A5"/>
    <w:rsid w:val="009B42EF"/>
    <w:rsid w:val="009B7316"/>
    <w:rsid w:val="009C1908"/>
    <w:rsid w:val="009C7575"/>
    <w:rsid w:val="009C7BD8"/>
    <w:rsid w:val="009D2AE2"/>
    <w:rsid w:val="009D49FD"/>
    <w:rsid w:val="009E2405"/>
    <w:rsid w:val="009E2650"/>
    <w:rsid w:val="009F174A"/>
    <w:rsid w:val="009F47ED"/>
    <w:rsid w:val="00A06845"/>
    <w:rsid w:val="00A13D50"/>
    <w:rsid w:val="00A260D4"/>
    <w:rsid w:val="00A43FE7"/>
    <w:rsid w:val="00A4413E"/>
    <w:rsid w:val="00A4496B"/>
    <w:rsid w:val="00A57121"/>
    <w:rsid w:val="00A60EFB"/>
    <w:rsid w:val="00A67D78"/>
    <w:rsid w:val="00A67ED7"/>
    <w:rsid w:val="00A70A61"/>
    <w:rsid w:val="00A75AB0"/>
    <w:rsid w:val="00A80F0A"/>
    <w:rsid w:val="00A85BDF"/>
    <w:rsid w:val="00A866E6"/>
    <w:rsid w:val="00A92FC3"/>
    <w:rsid w:val="00A95E27"/>
    <w:rsid w:val="00AA16E2"/>
    <w:rsid w:val="00AB25AF"/>
    <w:rsid w:val="00AB29CF"/>
    <w:rsid w:val="00AB659F"/>
    <w:rsid w:val="00AB6901"/>
    <w:rsid w:val="00AB74DE"/>
    <w:rsid w:val="00AC5B6A"/>
    <w:rsid w:val="00AC79C5"/>
    <w:rsid w:val="00AD17B7"/>
    <w:rsid w:val="00AD3339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260AA"/>
    <w:rsid w:val="00B27D9A"/>
    <w:rsid w:val="00B3521A"/>
    <w:rsid w:val="00B42501"/>
    <w:rsid w:val="00B43A2E"/>
    <w:rsid w:val="00B47A14"/>
    <w:rsid w:val="00B52CCB"/>
    <w:rsid w:val="00B60BA9"/>
    <w:rsid w:val="00B647F9"/>
    <w:rsid w:val="00B81C50"/>
    <w:rsid w:val="00B8482B"/>
    <w:rsid w:val="00B84918"/>
    <w:rsid w:val="00B872FA"/>
    <w:rsid w:val="00B905B1"/>
    <w:rsid w:val="00B92CDD"/>
    <w:rsid w:val="00B93F01"/>
    <w:rsid w:val="00B97EAF"/>
    <w:rsid w:val="00BA4001"/>
    <w:rsid w:val="00BA7BDF"/>
    <w:rsid w:val="00BB1A6A"/>
    <w:rsid w:val="00BB6CCF"/>
    <w:rsid w:val="00BB6DC5"/>
    <w:rsid w:val="00BB6E8D"/>
    <w:rsid w:val="00BC6937"/>
    <w:rsid w:val="00BD6A4D"/>
    <w:rsid w:val="00BD7F5C"/>
    <w:rsid w:val="00BE025F"/>
    <w:rsid w:val="00BE4689"/>
    <w:rsid w:val="00BE4A0A"/>
    <w:rsid w:val="00BE6763"/>
    <w:rsid w:val="00BE6E17"/>
    <w:rsid w:val="00BE7244"/>
    <w:rsid w:val="00BE73C8"/>
    <w:rsid w:val="00BE741D"/>
    <w:rsid w:val="00BE7C65"/>
    <w:rsid w:val="00BF1C6D"/>
    <w:rsid w:val="00C03F7F"/>
    <w:rsid w:val="00C0423F"/>
    <w:rsid w:val="00C04CD4"/>
    <w:rsid w:val="00C050C3"/>
    <w:rsid w:val="00C05E22"/>
    <w:rsid w:val="00C15405"/>
    <w:rsid w:val="00C20822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7DA6"/>
    <w:rsid w:val="00C7464C"/>
    <w:rsid w:val="00C75281"/>
    <w:rsid w:val="00C76742"/>
    <w:rsid w:val="00C77FE5"/>
    <w:rsid w:val="00C860B2"/>
    <w:rsid w:val="00C90A86"/>
    <w:rsid w:val="00C966B0"/>
    <w:rsid w:val="00C96B7B"/>
    <w:rsid w:val="00CA2EBC"/>
    <w:rsid w:val="00CA54EC"/>
    <w:rsid w:val="00CA691A"/>
    <w:rsid w:val="00CB0081"/>
    <w:rsid w:val="00CB1EC7"/>
    <w:rsid w:val="00CB238E"/>
    <w:rsid w:val="00CB313B"/>
    <w:rsid w:val="00CB7043"/>
    <w:rsid w:val="00CC24E7"/>
    <w:rsid w:val="00CC714C"/>
    <w:rsid w:val="00CC7591"/>
    <w:rsid w:val="00CD071E"/>
    <w:rsid w:val="00CD5E2C"/>
    <w:rsid w:val="00CE110B"/>
    <w:rsid w:val="00CE5C33"/>
    <w:rsid w:val="00CE6820"/>
    <w:rsid w:val="00CE78AB"/>
    <w:rsid w:val="00CE7F6F"/>
    <w:rsid w:val="00CF67CA"/>
    <w:rsid w:val="00D02B38"/>
    <w:rsid w:val="00D0333E"/>
    <w:rsid w:val="00D04553"/>
    <w:rsid w:val="00D06D30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2FC5"/>
    <w:rsid w:val="00D54FDB"/>
    <w:rsid w:val="00D56140"/>
    <w:rsid w:val="00D6359F"/>
    <w:rsid w:val="00D63609"/>
    <w:rsid w:val="00D64206"/>
    <w:rsid w:val="00D64C2C"/>
    <w:rsid w:val="00D65408"/>
    <w:rsid w:val="00D67207"/>
    <w:rsid w:val="00D71935"/>
    <w:rsid w:val="00D75E00"/>
    <w:rsid w:val="00D80BD7"/>
    <w:rsid w:val="00D81F87"/>
    <w:rsid w:val="00D92012"/>
    <w:rsid w:val="00D92D81"/>
    <w:rsid w:val="00D94869"/>
    <w:rsid w:val="00DA3264"/>
    <w:rsid w:val="00DB0D26"/>
    <w:rsid w:val="00DB2713"/>
    <w:rsid w:val="00DD1CD4"/>
    <w:rsid w:val="00DD2590"/>
    <w:rsid w:val="00DD3497"/>
    <w:rsid w:val="00DD52EC"/>
    <w:rsid w:val="00DE2333"/>
    <w:rsid w:val="00DE43F7"/>
    <w:rsid w:val="00DF0141"/>
    <w:rsid w:val="00DF1708"/>
    <w:rsid w:val="00DF52BB"/>
    <w:rsid w:val="00E0579C"/>
    <w:rsid w:val="00E116E2"/>
    <w:rsid w:val="00E14335"/>
    <w:rsid w:val="00E20D92"/>
    <w:rsid w:val="00E3063B"/>
    <w:rsid w:val="00E32E95"/>
    <w:rsid w:val="00E33F79"/>
    <w:rsid w:val="00E366A8"/>
    <w:rsid w:val="00E4162E"/>
    <w:rsid w:val="00E424B1"/>
    <w:rsid w:val="00E61395"/>
    <w:rsid w:val="00E7346B"/>
    <w:rsid w:val="00E73CB7"/>
    <w:rsid w:val="00E8483D"/>
    <w:rsid w:val="00E84D97"/>
    <w:rsid w:val="00E84DFA"/>
    <w:rsid w:val="00E91328"/>
    <w:rsid w:val="00E9395F"/>
    <w:rsid w:val="00E97DEA"/>
    <w:rsid w:val="00EA0A08"/>
    <w:rsid w:val="00EA28DB"/>
    <w:rsid w:val="00EA6692"/>
    <w:rsid w:val="00EA6875"/>
    <w:rsid w:val="00EB193F"/>
    <w:rsid w:val="00EB6339"/>
    <w:rsid w:val="00EC1285"/>
    <w:rsid w:val="00EC6B81"/>
    <w:rsid w:val="00ED2244"/>
    <w:rsid w:val="00ED3AB7"/>
    <w:rsid w:val="00EE009E"/>
    <w:rsid w:val="00EE182D"/>
    <w:rsid w:val="00EE74B3"/>
    <w:rsid w:val="00EF1361"/>
    <w:rsid w:val="00EF5D03"/>
    <w:rsid w:val="00F02F2C"/>
    <w:rsid w:val="00F054A2"/>
    <w:rsid w:val="00F1231A"/>
    <w:rsid w:val="00F13EE9"/>
    <w:rsid w:val="00F27E21"/>
    <w:rsid w:val="00F30080"/>
    <w:rsid w:val="00F3058D"/>
    <w:rsid w:val="00F339CD"/>
    <w:rsid w:val="00F3774C"/>
    <w:rsid w:val="00F43C10"/>
    <w:rsid w:val="00F469F6"/>
    <w:rsid w:val="00F46C6E"/>
    <w:rsid w:val="00F4732B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093C"/>
    <w:rsid w:val="00F913A5"/>
    <w:rsid w:val="00F958E9"/>
    <w:rsid w:val="00FA4A2A"/>
    <w:rsid w:val="00FA6366"/>
    <w:rsid w:val="00FB138C"/>
    <w:rsid w:val="00FB3DD7"/>
    <w:rsid w:val="00FB6CE1"/>
    <w:rsid w:val="00FC15E7"/>
    <w:rsid w:val="00FC2EE9"/>
    <w:rsid w:val="00FD0700"/>
    <w:rsid w:val="00FD20C3"/>
    <w:rsid w:val="00FD34B4"/>
    <w:rsid w:val="00FE0D13"/>
    <w:rsid w:val="00FE41AF"/>
    <w:rsid w:val="00FF0C2A"/>
    <w:rsid w:val="00FF1AB9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5:docId w15:val="{60D56A34-795A-4CA5-A845-C4DBAE8B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2021\&#1086;&#1090;&#1095;&#1077;&#1090;%20&#1088;&#1072;&#1073;&#1086;&#1095;&#1080;&#1081;%20&#1103;&#1085;&#1074;&#1072;&#1088;&#1100;%202021%20&#1089;%20&#1075;&#1088;&#1072;&#1092;&#1080;&#1082;&#1072;&#1084;&#1080;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2021\&#1086;&#1090;&#1095;&#1077;&#1090;%20&#1088;&#1072;&#1073;&#1086;&#1095;&#1080;&#1081;%20&#1103;&#1085;&#1074;&#1072;&#1088;&#1100;%202021%20&#1089;%20&#1075;&#1088;&#1072;&#1092;&#1080;&#1082;&#1072;&#1084;&#1080;.xlsx" TargetMode="External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!!&#1054;&#1058;&#1063;&#1025;&#1058;%202021\&#1086;&#1075;&#1082;&#1091;%202021\&#1103;&#1085;&#1074;&#1072;&#1088;&#1100;\+&#1057;&#1052;&#1055;%20&#1103;&#1085;&#1074;&#1072;&#1088;&#110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!!&#1054;&#1058;&#1063;&#1025;&#1058;%202021\&#1054;&#1090;&#1095;&#1105;&#1090;%20&#1040;&#1043;&#1047;\&#1071;&#1085;&#1074;&#1072;&#1088;&#1100;%202021\&#1054;&#1058;&#1063;&#1025;&#1058;%20&#1052;&#1059;&#1053;&#1048;&#1062;&#1048;&#1055;&#1040;&#1051;&#1067;%20&#1071;&#1085;&#1074;&#1072;&#1088;&#1100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1\&#1086;&#1075;&#1082;&#1091;%202021\+&#1057;&#1052;&#1055;%20&#1103;&#1085;&#1074;&#1072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Показатели ГРБС по объему конкурентных закупок </a:t>
            </a: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(через Уполномоченный орган) </a:t>
            </a:r>
            <a:endParaRPr lang="ru-RU">
              <a:effectLst/>
            </a:endParaRP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и среднему количеству участников</a:t>
            </a:r>
            <a:endParaRPr lang="ru-RU">
              <a:effectLst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Графики!$D$37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Минтранс</c:v>
                </c:pt>
                <c:pt idx="1">
                  <c:v>Минздрав</c:v>
                </c:pt>
                <c:pt idx="2">
                  <c:v>Минстрой</c:v>
                </c:pt>
                <c:pt idx="3">
                  <c:v>Правительство</c:v>
                </c:pt>
                <c:pt idx="4">
                  <c:v>Минсоц</c:v>
                </c:pt>
                <c:pt idx="5">
                  <c:v>Минфин</c:v>
                </c:pt>
                <c:pt idx="6">
                  <c:v>МинЖКХ</c:v>
                </c:pt>
                <c:pt idx="7">
                  <c:v>Минпросв</c:v>
                </c:pt>
                <c:pt idx="8">
                  <c:v>Микульт</c:v>
                </c:pt>
                <c:pt idx="9">
                  <c:v>Минприроды</c:v>
                </c:pt>
                <c:pt idx="10">
                  <c:v>Прочие</c:v>
                </c:pt>
                <c:pt idx="11">
                  <c:v>Минсельх</c:v>
                </c:pt>
                <c:pt idx="12">
                  <c:v>Минспорт</c:v>
                </c:pt>
              </c:strCache>
            </c:strRef>
          </c:cat>
          <c:val>
            <c:numRef>
              <c:f>Графики!$D$38:$D$50</c:f>
              <c:numCache>
                <c:formatCode>0</c:formatCode>
                <c:ptCount val="13"/>
                <c:pt idx="0">
                  <c:v>4711.2491437200006</c:v>
                </c:pt>
                <c:pt idx="1">
                  <c:v>1809.7838491399998</c:v>
                </c:pt>
                <c:pt idx="2">
                  <c:v>761.10307651000005</c:v>
                </c:pt>
                <c:pt idx="3">
                  <c:v>107.41510701999999</c:v>
                </c:pt>
                <c:pt idx="4">
                  <c:v>57.335808309999997</c:v>
                </c:pt>
                <c:pt idx="5">
                  <c:v>46.939514439999996</c:v>
                </c:pt>
                <c:pt idx="6">
                  <c:v>42.870330030000005</c:v>
                </c:pt>
                <c:pt idx="7">
                  <c:v>35.797003120000007</c:v>
                </c:pt>
                <c:pt idx="8">
                  <c:v>25.964396069999999</c:v>
                </c:pt>
                <c:pt idx="9">
                  <c:v>15.670369110000001</c:v>
                </c:pt>
                <c:pt idx="10">
                  <c:v>14.62709883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36893232"/>
        <c:axId val="236890432"/>
      </c:barChart>
      <c:lineChart>
        <c:grouping val="standard"/>
        <c:varyColors val="0"/>
        <c:ser>
          <c:idx val="1"/>
          <c:order val="1"/>
          <c:tx>
            <c:strRef>
              <c:f>Графики!$E$37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666666666666664E-2"/>
                  <c:y val="-2.860286028602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047184170471841E-2"/>
                  <c:y val="-3.95325627624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917808219178082E-2"/>
                  <c:y val="5.083766608896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053272450532728E-2"/>
                  <c:y val="-5.5459272097053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44292237487E-2"/>
                  <c:y val="-3.4662045060658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1659056316590564E-2"/>
                  <c:y val="-4.621606008087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529680365296802E-3"/>
                  <c:y val="-4.85268630849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0958904109589041E-2"/>
                  <c:y val="1.6175621028307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353120243531291E-2"/>
                  <c:y val="-4.159445407279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3394216133942162E-2"/>
                  <c:y val="-4.3905257076834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Минтранс</c:v>
                </c:pt>
                <c:pt idx="1">
                  <c:v>Минздрав</c:v>
                </c:pt>
                <c:pt idx="2">
                  <c:v>Минстрой</c:v>
                </c:pt>
                <c:pt idx="3">
                  <c:v>Правительство</c:v>
                </c:pt>
                <c:pt idx="4">
                  <c:v>Минсоц</c:v>
                </c:pt>
                <c:pt idx="5">
                  <c:v>Минфин</c:v>
                </c:pt>
                <c:pt idx="6">
                  <c:v>МинЖКХ</c:v>
                </c:pt>
                <c:pt idx="7">
                  <c:v>Минпросв</c:v>
                </c:pt>
                <c:pt idx="8">
                  <c:v>Микульт</c:v>
                </c:pt>
                <c:pt idx="9">
                  <c:v>Минприроды</c:v>
                </c:pt>
                <c:pt idx="10">
                  <c:v>Прочие</c:v>
                </c:pt>
                <c:pt idx="11">
                  <c:v>Минсельх</c:v>
                </c:pt>
                <c:pt idx="12">
                  <c:v>Минспорт</c:v>
                </c:pt>
              </c:strCache>
            </c:strRef>
          </c:cat>
          <c:val>
            <c:numRef>
              <c:f>Графики!$E$38:$E$50</c:f>
              <c:numCache>
                <c:formatCode>0.00</c:formatCode>
                <c:ptCount val="13"/>
                <c:pt idx="0">
                  <c:v>2.4444444444444446</c:v>
                </c:pt>
                <c:pt idx="1">
                  <c:v>2.5368782161234993</c:v>
                </c:pt>
                <c:pt idx="2">
                  <c:v>2.12</c:v>
                </c:pt>
                <c:pt idx="3">
                  <c:v>3.3103448275862069</c:v>
                </c:pt>
                <c:pt idx="4">
                  <c:v>3.7749999999999999</c:v>
                </c:pt>
                <c:pt idx="5">
                  <c:v>1.2857142857142858</c:v>
                </c:pt>
                <c:pt idx="6">
                  <c:v>3.8571428571428572</c:v>
                </c:pt>
                <c:pt idx="7">
                  <c:v>2.6046511627906979</c:v>
                </c:pt>
                <c:pt idx="8">
                  <c:v>1.631578947368421</c:v>
                </c:pt>
                <c:pt idx="9">
                  <c:v>3</c:v>
                </c:pt>
                <c:pt idx="10">
                  <c:v>3.0909090909090908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896592"/>
        <c:axId val="236896032"/>
      </c:lineChart>
      <c:catAx>
        <c:axId val="23689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890432"/>
        <c:crosses val="autoZero"/>
        <c:auto val="1"/>
        <c:lblAlgn val="ctr"/>
        <c:lblOffset val="100"/>
        <c:noMultiLvlLbl val="0"/>
      </c:catAx>
      <c:valAx>
        <c:axId val="23689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893232"/>
        <c:crosses val="autoZero"/>
        <c:crossBetween val="between"/>
      </c:valAx>
      <c:catAx>
        <c:axId val="236896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36896032"/>
        <c:crosses val="autoZero"/>
        <c:auto val="1"/>
        <c:lblAlgn val="ctr"/>
        <c:lblOffset val="100"/>
        <c:noMultiLvlLbl val="0"/>
      </c:catAx>
      <c:valAx>
        <c:axId val="23689603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89659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Показатели ГРБС по объему самостоятельно проведенных заказчиками конкурентных закупок и среднему количеству участников</a:t>
            </a:r>
            <a:endParaRPr lang="ru-RU">
              <a:effectLst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Графики!$D$63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Прочие</c:v>
                </c:pt>
                <c:pt idx="6">
                  <c:v>Минфин</c:v>
                </c:pt>
                <c:pt idx="7">
                  <c:v>Минтранс</c:v>
                </c:pt>
                <c:pt idx="8">
                  <c:v>Минсельх</c:v>
                </c:pt>
                <c:pt idx="9">
                  <c:v>Минприроды</c:v>
                </c:pt>
                <c:pt idx="10">
                  <c:v>Микульт</c:v>
                </c:pt>
                <c:pt idx="11">
                  <c:v>Минспорт</c:v>
                </c:pt>
                <c:pt idx="12">
                  <c:v>МинЖКХ</c:v>
                </c:pt>
              </c:strCache>
            </c:strRef>
          </c:cat>
          <c:val>
            <c:numRef>
              <c:f>Графики!$D$64:$D$76</c:f>
              <c:numCache>
                <c:formatCode>#,##0</c:formatCode>
                <c:ptCount val="13"/>
                <c:pt idx="0">
                  <c:v>454.75433831999999</c:v>
                </c:pt>
                <c:pt idx="1">
                  <c:v>61.750237659999996</c:v>
                </c:pt>
                <c:pt idx="2">
                  <c:v>8.6099623200000011</c:v>
                </c:pt>
                <c:pt idx="3">
                  <c:v>3.8877627599999998</c:v>
                </c:pt>
                <c:pt idx="4">
                  <c:v>2.58811664</c:v>
                </c:pt>
                <c:pt idx="5">
                  <c:v>2.1255700899999996</c:v>
                </c:pt>
                <c:pt idx="6">
                  <c:v>0.1531902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36898272"/>
        <c:axId val="236893792"/>
      </c:barChart>
      <c:lineChart>
        <c:grouping val="standard"/>
        <c:varyColors val="0"/>
        <c:ser>
          <c:idx val="1"/>
          <c:order val="1"/>
          <c:tx>
            <c:strRef>
              <c:f>Графики!$E$63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0785305021907651E-2"/>
                  <c:y val="2.229654403567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788432267884323E-2"/>
                  <c:y val="-6.2391681109185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6788432267884323E-2"/>
                  <c:y val="5.5459272097053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264840182648401E-2"/>
                  <c:y val="4.85268630849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788432267884368E-2"/>
                  <c:y val="-3.9283651068746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8006088280060883E-2"/>
                  <c:y val="-3.6972848064702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Прочие</c:v>
                </c:pt>
                <c:pt idx="6">
                  <c:v>Минфин</c:v>
                </c:pt>
                <c:pt idx="7">
                  <c:v>Минтранс</c:v>
                </c:pt>
                <c:pt idx="8">
                  <c:v>Минсельх</c:v>
                </c:pt>
                <c:pt idx="9">
                  <c:v>Минприроды</c:v>
                </c:pt>
                <c:pt idx="10">
                  <c:v>Микульт</c:v>
                </c:pt>
                <c:pt idx="11">
                  <c:v>Минспорт</c:v>
                </c:pt>
                <c:pt idx="12">
                  <c:v>МинЖКХ</c:v>
                </c:pt>
              </c:strCache>
            </c:strRef>
          </c:cat>
          <c:val>
            <c:numRef>
              <c:f>Графики!$E$64:$E$76</c:f>
              <c:numCache>
                <c:formatCode>#,##0.00</c:formatCode>
                <c:ptCount val="13"/>
                <c:pt idx="0">
                  <c:v>2</c:v>
                </c:pt>
                <c:pt idx="1">
                  <c:v>2.575916230366492</c:v>
                </c:pt>
                <c:pt idx="2">
                  <c:v>2.3448275862068964</c:v>
                </c:pt>
                <c:pt idx="3">
                  <c:v>2.4444444444444446</c:v>
                </c:pt>
                <c:pt idx="4">
                  <c:v>2.7391304347826089</c:v>
                </c:pt>
                <c:pt idx="5">
                  <c:v>2.75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888752"/>
        <c:axId val="236892112"/>
      </c:lineChart>
      <c:catAx>
        <c:axId val="23689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893792"/>
        <c:crosses val="autoZero"/>
        <c:auto val="1"/>
        <c:lblAlgn val="ctr"/>
        <c:lblOffset val="100"/>
        <c:noMultiLvlLbl val="0"/>
      </c:catAx>
      <c:valAx>
        <c:axId val="23689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898272"/>
        <c:crosses val="autoZero"/>
        <c:crossBetween val="between"/>
      </c:valAx>
      <c:catAx>
        <c:axId val="236888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36892112"/>
        <c:crosses val="autoZero"/>
        <c:auto val="1"/>
        <c:lblAlgn val="ctr"/>
        <c:lblOffset val="100"/>
        <c:noMultiLvlLbl val="0"/>
      </c:catAx>
      <c:valAx>
        <c:axId val="236892112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88875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800" b="1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Лист1!$C$19:$C$31</c:f>
              <c:strCache>
                <c:ptCount val="13"/>
                <c:pt idx="0">
                  <c:v>Минпросвещения</c:v>
                </c:pt>
                <c:pt idx="1">
                  <c:v>Минсоц</c:v>
                </c:pt>
                <c:pt idx="2">
                  <c:v>Правительство</c:v>
                </c:pt>
                <c:pt idx="3">
                  <c:v>Прочие</c:v>
                </c:pt>
                <c:pt idx="4">
                  <c:v>Минэнерго</c:v>
                </c:pt>
                <c:pt idx="5">
                  <c:v>Минздрав</c:v>
                </c:pt>
                <c:pt idx="6">
                  <c:v>Минкульт</c:v>
                </c:pt>
                <c:pt idx="7">
                  <c:v>Минфин</c:v>
                </c:pt>
                <c:pt idx="8">
                  <c:v>Минстрой</c:v>
                </c:pt>
                <c:pt idx="9">
                  <c:v>Минтранс</c:v>
                </c:pt>
                <c:pt idx="10">
                  <c:v>Минсельхоз</c:v>
                </c:pt>
                <c:pt idx="11">
                  <c:v>Минприроды</c:v>
                </c:pt>
                <c:pt idx="12">
                  <c:v>Минспорт</c:v>
                </c:pt>
              </c:strCache>
            </c:strRef>
          </c:cat>
          <c:val>
            <c:numRef>
              <c:f>Лист1!$D$19:$D$31</c:f>
              <c:numCache>
                <c:formatCode>#,##0</c:formatCode>
                <c:ptCount val="13"/>
                <c:pt idx="0">
                  <c:v>87.767566200083039</c:v>
                </c:pt>
                <c:pt idx="1">
                  <c:v>60.8035101667584</c:v>
                </c:pt>
                <c:pt idx="2">
                  <c:v>59.100015305860545</c:v>
                </c:pt>
                <c:pt idx="3">
                  <c:v>55.328570416229539</c:v>
                </c:pt>
                <c:pt idx="4">
                  <c:v>40.831220538191872</c:v>
                </c:pt>
                <c:pt idx="5">
                  <c:v>32.403828081321379</c:v>
                </c:pt>
                <c:pt idx="6">
                  <c:v>30.123150906009116</c:v>
                </c:pt>
                <c:pt idx="7">
                  <c:v>9.5150653041787159</c:v>
                </c:pt>
                <c:pt idx="8">
                  <c:v>7.8239735054213364</c:v>
                </c:pt>
                <c:pt idx="9">
                  <c:v>0.24543584869446719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477200"/>
        <c:axId val="281480560"/>
      </c:barChart>
      <c:lineChart>
        <c:grouping val="standard"/>
        <c:varyColors val="0"/>
        <c:ser>
          <c:idx val="1"/>
          <c:order val="1"/>
          <c:tx>
            <c:strRef>
              <c:f>Лист1!$E$18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Лист1!$C$19:$C$31</c:f>
              <c:strCache>
                <c:ptCount val="13"/>
                <c:pt idx="0">
                  <c:v>Минпросвещения</c:v>
                </c:pt>
                <c:pt idx="1">
                  <c:v>Минсоц</c:v>
                </c:pt>
                <c:pt idx="2">
                  <c:v>Правительство</c:v>
                </c:pt>
                <c:pt idx="3">
                  <c:v>Прочие</c:v>
                </c:pt>
                <c:pt idx="4">
                  <c:v>Минэнерго</c:v>
                </c:pt>
                <c:pt idx="5">
                  <c:v>Минздрав</c:v>
                </c:pt>
                <c:pt idx="6">
                  <c:v>Минкульт</c:v>
                </c:pt>
                <c:pt idx="7">
                  <c:v>Минфин</c:v>
                </c:pt>
                <c:pt idx="8">
                  <c:v>Минстрой</c:v>
                </c:pt>
                <c:pt idx="9">
                  <c:v>Минтранс</c:v>
                </c:pt>
                <c:pt idx="10">
                  <c:v>Минсельхоз</c:v>
                </c:pt>
                <c:pt idx="11">
                  <c:v>Минприроды</c:v>
                </c:pt>
                <c:pt idx="12">
                  <c:v>Минспорт</c:v>
                </c:pt>
              </c:strCache>
            </c:strRef>
          </c:cat>
          <c:val>
            <c:numRef>
              <c:f>Лист1!$E$19:$E$31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482240"/>
        <c:axId val="281480000"/>
      </c:lineChart>
      <c:catAx>
        <c:axId val="28147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80560"/>
        <c:crosses val="autoZero"/>
        <c:auto val="1"/>
        <c:lblAlgn val="ctr"/>
        <c:lblOffset val="100"/>
        <c:noMultiLvlLbl val="0"/>
      </c:catAx>
      <c:valAx>
        <c:axId val="281480560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77200"/>
        <c:crosses val="autoZero"/>
        <c:crossBetween val="between"/>
        <c:majorUnit val="15"/>
      </c:valAx>
      <c:valAx>
        <c:axId val="281480000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281482240"/>
        <c:crosses val="max"/>
        <c:crossBetween val="between"/>
        <c:majorUnit val="15"/>
        <c:minorUnit val="3"/>
      </c:valAx>
      <c:catAx>
        <c:axId val="281482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814800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589486983929577E-2"/>
          <c:y val="0.1431834247495628"/>
          <c:w val="0.88485700251975363"/>
          <c:h val="0.55379472926060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3196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Старомайнский район</c:v>
                </c:pt>
                <c:pt idx="3">
                  <c:v>Карсунский район</c:v>
                </c:pt>
                <c:pt idx="4">
                  <c:v>Чердаклинский район</c:v>
                </c:pt>
                <c:pt idx="5">
                  <c:v>Цильнинский район</c:v>
                </c:pt>
                <c:pt idx="6">
                  <c:v>Сенгилеевский район</c:v>
                </c:pt>
                <c:pt idx="7">
                  <c:v>Новоульяновск </c:v>
                </c:pt>
                <c:pt idx="8">
                  <c:v>Барышский район</c:v>
                </c:pt>
                <c:pt idx="9">
                  <c:v>Ульяновский район</c:v>
                </c:pt>
                <c:pt idx="10">
                  <c:v>Мелекесский район</c:v>
                </c:pt>
                <c:pt idx="11">
                  <c:v>Инзенский район</c:v>
                </c:pt>
                <c:pt idx="12">
                  <c:v>Новоспасский район</c:v>
                </c:pt>
                <c:pt idx="13">
                  <c:v>Майнский район</c:v>
                </c:pt>
                <c:pt idx="14">
                  <c:v>Сурский район</c:v>
                </c:pt>
                <c:pt idx="15">
                  <c:v>Николаевский район </c:v>
                </c:pt>
                <c:pt idx="16">
                  <c:v>Радищевский район</c:v>
                </c:pt>
                <c:pt idx="17">
                  <c:v>Вешкаймский район </c:v>
                </c:pt>
                <c:pt idx="18">
                  <c:v>Кузоватовский район </c:v>
                </c:pt>
                <c:pt idx="19">
                  <c:v>Новомалыклинский район</c:v>
                </c:pt>
                <c:pt idx="20">
                  <c:v>Тереньгульский район</c:v>
                </c:pt>
                <c:pt idx="21">
                  <c:v>Павловский район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График!$C$4:$C$27</c:f>
              <c:numCache>
                <c:formatCode>0</c:formatCode>
                <c:ptCount val="24"/>
                <c:pt idx="0">
                  <c:v>958.89897599999995</c:v>
                </c:pt>
                <c:pt idx="1">
                  <c:v>170.42577</c:v>
                </c:pt>
                <c:pt idx="2">
                  <c:v>115.82032000000001</c:v>
                </c:pt>
                <c:pt idx="3">
                  <c:v>108.23755</c:v>
                </c:pt>
                <c:pt idx="4">
                  <c:v>91.974809999999991</c:v>
                </c:pt>
                <c:pt idx="5">
                  <c:v>79.609059999999999</c:v>
                </c:pt>
                <c:pt idx="6">
                  <c:v>78.697580000000002</c:v>
                </c:pt>
                <c:pt idx="7">
                  <c:v>78.430960000000013</c:v>
                </c:pt>
                <c:pt idx="8">
                  <c:v>72.681739999999991</c:v>
                </c:pt>
                <c:pt idx="9">
                  <c:v>70.544480000000007</c:v>
                </c:pt>
                <c:pt idx="10">
                  <c:v>70.222129999999993</c:v>
                </c:pt>
                <c:pt idx="11">
                  <c:v>55.151559999999996</c:v>
                </c:pt>
                <c:pt idx="12">
                  <c:v>52.158740000000009</c:v>
                </c:pt>
                <c:pt idx="13">
                  <c:v>49.951930000000004</c:v>
                </c:pt>
                <c:pt idx="14">
                  <c:v>49.504539999999999</c:v>
                </c:pt>
                <c:pt idx="15">
                  <c:v>40.651739999999997</c:v>
                </c:pt>
                <c:pt idx="16">
                  <c:v>32.67848</c:v>
                </c:pt>
                <c:pt idx="17">
                  <c:v>27.773400000000002</c:v>
                </c:pt>
                <c:pt idx="18">
                  <c:v>26.686840000000004</c:v>
                </c:pt>
                <c:pt idx="19">
                  <c:v>26.492360000000001</c:v>
                </c:pt>
                <c:pt idx="20">
                  <c:v>26.267240000000001</c:v>
                </c:pt>
                <c:pt idx="21">
                  <c:v>25.354709999999997</c:v>
                </c:pt>
                <c:pt idx="22">
                  <c:v>24.145299999999999</c:v>
                </c:pt>
                <c:pt idx="23">
                  <c:v>11.902970000000002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81473840"/>
        <c:axId val="281474400"/>
      </c:barChart>
      <c:lineChart>
        <c:grouping val="standard"/>
        <c:varyColors val="0"/>
        <c:ser>
          <c:idx val="1"/>
          <c:order val="1"/>
          <c:tx>
            <c:strRef>
              <c:f>График!$D$3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93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691358024691412E-2"/>
                  <c:y val="-3.6407538367156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574759229568003E-2"/>
                  <c:y val="-3.78668759195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954734422185019E-3"/>
                  <c:y val="-3.1527828252237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0349168247598552E-2"/>
                  <c:y val="1.1137316446939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0864686975486028E-3"/>
                  <c:y val="1.0731286721354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6063100137174462E-2"/>
                  <c:y val="-3.9008076821953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714096014382376E-2"/>
                  <c:y val="3.2632863361964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5174584123799228E-2"/>
                  <c:y val="-2.8957022762043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063100137174462E-2"/>
                  <c:y val="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5175566450245129E-2"/>
                  <c:y val="-3.5642682111828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2207527975584944E-2"/>
                  <c:y val="-7.2934472934473013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3.7840132648729184E-4"/>
                  <c:y val="-3.3806851066693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1.0526669924143511E-2"/>
                  <c:y val="-2.6968167440608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7312074291832543E-2"/>
                  <c:y val="-7.2553469277878729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6063049761587305E-2"/>
                  <c:y val="-3.1590515777017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1.5089163237311421E-2"/>
                  <c:y val="-3.640753836715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1717651519399243E-2"/>
                  <c:y val="-7.0274266998676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4496733177935667E-2"/>
                  <c:y val="-4.7057451151939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9.243437652694227E-3"/>
                  <c:y val="-4.6673217129910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6.8586441954165698E-3"/>
                  <c:y val="-4.7016533189761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Старомайнский район</c:v>
                </c:pt>
                <c:pt idx="3">
                  <c:v>Карсунский район</c:v>
                </c:pt>
                <c:pt idx="4">
                  <c:v>Чердаклинский район</c:v>
                </c:pt>
                <c:pt idx="5">
                  <c:v>Цильнинский район</c:v>
                </c:pt>
                <c:pt idx="6">
                  <c:v>Сенгилеевский район</c:v>
                </c:pt>
                <c:pt idx="7">
                  <c:v>Новоульяновск </c:v>
                </c:pt>
                <c:pt idx="8">
                  <c:v>Барышский район</c:v>
                </c:pt>
                <c:pt idx="9">
                  <c:v>Ульяновский район</c:v>
                </c:pt>
                <c:pt idx="10">
                  <c:v>Мелекесский район</c:v>
                </c:pt>
                <c:pt idx="11">
                  <c:v>Инзенский район</c:v>
                </c:pt>
                <c:pt idx="12">
                  <c:v>Новоспасский район</c:v>
                </c:pt>
                <c:pt idx="13">
                  <c:v>Майнский район</c:v>
                </c:pt>
                <c:pt idx="14">
                  <c:v>Сурский район</c:v>
                </c:pt>
                <c:pt idx="15">
                  <c:v>Николаевский район </c:v>
                </c:pt>
                <c:pt idx="16">
                  <c:v>Радищевский район</c:v>
                </c:pt>
                <c:pt idx="17">
                  <c:v>Вешкаймский район </c:v>
                </c:pt>
                <c:pt idx="18">
                  <c:v>Кузоватовский район </c:v>
                </c:pt>
                <c:pt idx="19">
                  <c:v>Новомалыклинский район</c:v>
                </c:pt>
                <c:pt idx="20">
                  <c:v>Тереньгульский район</c:v>
                </c:pt>
                <c:pt idx="21">
                  <c:v>Павловский район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5.7692307692307692</c:v>
                </c:pt>
                <c:pt idx="1">
                  <c:v>3.0576923076923075</c:v>
                </c:pt>
                <c:pt idx="2">
                  <c:v>2.4615384615384617</c:v>
                </c:pt>
                <c:pt idx="3">
                  <c:v>2.0909090909090908</c:v>
                </c:pt>
                <c:pt idx="4">
                  <c:v>10.142857142857142</c:v>
                </c:pt>
                <c:pt idx="5">
                  <c:v>4.0333333333333332</c:v>
                </c:pt>
                <c:pt idx="6">
                  <c:v>3.1333333333333333</c:v>
                </c:pt>
                <c:pt idx="7">
                  <c:v>2.4</c:v>
                </c:pt>
                <c:pt idx="8">
                  <c:v>4.916666666666667</c:v>
                </c:pt>
                <c:pt idx="9">
                  <c:v>3.125</c:v>
                </c:pt>
                <c:pt idx="10">
                  <c:v>7.9411764705882355</c:v>
                </c:pt>
                <c:pt idx="11">
                  <c:v>4.2</c:v>
                </c:pt>
                <c:pt idx="12">
                  <c:v>7.6</c:v>
                </c:pt>
                <c:pt idx="13">
                  <c:v>1.3333333333333333</c:v>
                </c:pt>
                <c:pt idx="14">
                  <c:v>2.5454545454545454</c:v>
                </c:pt>
                <c:pt idx="15">
                  <c:v>2.2857142857142856</c:v>
                </c:pt>
                <c:pt idx="16">
                  <c:v>0</c:v>
                </c:pt>
                <c:pt idx="17">
                  <c:v>4.3214285714285712</c:v>
                </c:pt>
                <c:pt idx="18">
                  <c:v>2.2666666666666666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478320"/>
        <c:axId val="281485040"/>
      </c:lineChart>
      <c:catAx>
        <c:axId val="28147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1474400"/>
        <c:crosses val="autoZero"/>
        <c:auto val="1"/>
        <c:lblAlgn val="ctr"/>
        <c:lblOffset val="100"/>
        <c:noMultiLvlLbl val="0"/>
      </c:catAx>
      <c:valAx>
        <c:axId val="2814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1473840"/>
        <c:crosses val="autoZero"/>
        <c:crossBetween val="between"/>
      </c:valAx>
      <c:catAx>
        <c:axId val="281478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1485040"/>
        <c:crosses val="autoZero"/>
        <c:auto val="1"/>
        <c:lblAlgn val="ctr"/>
        <c:lblOffset val="100"/>
        <c:noMultiLvlLbl val="0"/>
      </c:catAx>
      <c:valAx>
        <c:axId val="281485040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147832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Доля размещения у СМП в разрезе муниципальных образований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0948401625493"/>
          <c:y val="0.18276750858872334"/>
          <c:w val="0.88041570980912709"/>
          <c:h val="0.40189074235227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Новомалыклинский район</c:v>
                </c:pt>
                <c:pt idx="1">
                  <c:v>Новоспасский район</c:v>
                </c:pt>
                <c:pt idx="2">
                  <c:v>Инзенский район</c:v>
                </c:pt>
                <c:pt idx="3">
                  <c:v>Кузоватовский район </c:v>
                </c:pt>
                <c:pt idx="4">
                  <c:v>Цильнинский район</c:v>
                </c:pt>
                <c:pt idx="5">
                  <c:v>Димитровград </c:v>
                </c:pt>
                <c:pt idx="6">
                  <c:v>Сурский район</c:v>
                </c:pt>
                <c:pt idx="7">
                  <c:v>Вешкаймский район </c:v>
                </c:pt>
                <c:pt idx="8">
                  <c:v>Николаевский район </c:v>
                </c:pt>
                <c:pt idx="9">
                  <c:v>Тереньгульский район</c:v>
                </c:pt>
                <c:pt idx="10">
                  <c:v>Сенгилеевский район</c:v>
                </c:pt>
                <c:pt idx="11">
                  <c:v>Карсунский район</c:v>
                </c:pt>
                <c:pt idx="12">
                  <c:v>Мелекесский район</c:v>
                </c:pt>
                <c:pt idx="13">
                  <c:v>Чердаклинский район</c:v>
                </c:pt>
                <c:pt idx="14">
                  <c:v>Барышский район</c:v>
                </c:pt>
                <c:pt idx="15">
                  <c:v>Павловский район</c:v>
                </c:pt>
                <c:pt idx="16">
                  <c:v>Ульяновский район</c:v>
                </c:pt>
                <c:pt idx="17">
                  <c:v>Ульяновск </c:v>
                </c:pt>
                <c:pt idx="18">
                  <c:v>Базарносызганский район</c:v>
                </c:pt>
                <c:pt idx="19">
                  <c:v>Радищевский район</c:v>
                </c:pt>
                <c:pt idx="20">
                  <c:v>Майнский район</c:v>
                </c:pt>
                <c:pt idx="21">
                  <c:v>Старокулаткинский район</c:v>
                </c:pt>
                <c:pt idx="22">
                  <c:v>Старомайнский район</c:v>
                </c:pt>
                <c:pt idx="23">
                  <c:v>Новоульяновск 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98.375188945830914</c:v>
                </c:pt>
                <c:pt idx="3">
                  <c:v>94.769620378207392</c:v>
                </c:pt>
                <c:pt idx="4">
                  <c:v>84.169937583581302</c:v>
                </c:pt>
                <c:pt idx="5">
                  <c:v>76.294313002350549</c:v>
                </c:pt>
                <c:pt idx="6">
                  <c:v>70.690885665022449</c:v>
                </c:pt>
                <c:pt idx="7">
                  <c:v>42.74100646173239</c:v>
                </c:pt>
                <c:pt idx="8">
                  <c:v>38.694453982760599</c:v>
                </c:pt>
                <c:pt idx="9">
                  <c:v>38.234660122536624</c:v>
                </c:pt>
                <c:pt idx="10">
                  <c:v>35.571021367353566</c:v>
                </c:pt>
                <c:pt idx="11">
                  <c:v>26.969417947497874</c:v>
                </c:pt>
                <c:pt idx="12">
                  <c:v>24.358825873832878</c:v>
                </c:pt>
                <c:pt idx="13">
                  <c:v>12.703880621389349</c:v>
                </c:pt>
                <c:pt idx="14">
                  <c:v>9.6377035182442174</c:v>
                </c:pt>
                <c:pt idx="15">
                  <c:v>4.3432164256847106</c:v>
                </c:pt>
                <c:pt idx="16">
                  <c:v>2.0501555921654768</c:v>
                </c:pt>
                <c:pt idx="17">
                  <c:v>7.6497250504676886E-2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483360"/>
        <c:axId val="281475520"/>
      </c:barChart>
      <c:lineChart>
        <c:grouping val="standard"/>
        <c:varyColors val="0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Новомалыклинский район</c:v>
                </c:pt>
                <c:pt idx="1">
                  <c:v>Новоспасский район</c:v>
                </c:pt>
                <c:pt idx="2">
                  <c:v>Инзенский район</c:v>
                </c:pt>
                <c:pt idx="3">
                  <c:v>Кузоватовский район </c:v>
                </c:pt>
                <c:pt idx="4">
                  <c:v>Цильнинский район</c:v>
                </c:pt>
                <c:pt idx="5">
                  <c:v>Димитровград </c:v>
                </c:pt>
                <c:pt idx="6">
                  <c:v>Сурский район</c:v>
                </c:pt>
                <c:pt idx="7">
                  <c:v>Вешкаймский район </c:v>
                </c:pt>
                <c:pt idx="8">
                  <c:v>Николаевский район </c:v>
                </c:pt>
                <c:pt idx="9">
                  <c:v>Тереньгульский район</c:v>
                </c:pt>
                <c:pt idx="10">
                  <c:v>Сенгилеевский район</c:v>
                </c:pt>
                <c:pt idx="11">
                  <c:v>Карсунский район</c:v>
                </c:pt>
                <c:pt idx="12">
                  <c:v>Мелекесский район</c:v>
                </c:pt>
                <c:pt idx="13">
                  <c:v>Чердаклинский район</c:v>
                </c:pt>
                <c:pt idx="14">
                  <c:v>Барышский район</c:v>
                </c:pt>
                <c:pt idx="15">
                  <c:v>Павловский район</c:v>
                </c:pt>
                <c:pt idx="16">
                  <c:v>Ульяновский район</c:v>
                </c:pt>
                <c:pt idx="17">
                  <c:v>Ульяновск </c:v>
                </c:pt>
                <c:pt idx="18">
                  <c:v>Базарносызганский район</c:v>
                </c:pt>
                <c:pt idx="19">
                  <c:v>Радищевский район</c:v>
                </c:pt>
                <c:pt idx="20">
                  <c:v>Майнский район</c:v>
                </c:pt>
                <c:pt idx="21">
                  <c:v>Старокулаткинский район</c:v>
                </c:pt>
                <c:pt idx="22">
                  <c:v>Старомайнский район</c:v>
                </c:pt>
                <c:pt idx="23">
                  <c:v>Новоульяновск 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486160"/>
        <c:axId val="281472720"/>
      </c:lineChart>
      <c:catAx>
        <c:axId val="28148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75520"/>
        <c:crossesAt val="0"/>
        <c:auto val="1"/>
        <c:lblAlgn val="ctr"/>
        <c:lblOffset val="100"/>
        <c:noMultiLvlLbl val="0"/>
      </c:catAx>
      <c:valAx>
        <c:axId val="281475520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83360"/>
        <c:crosses val="autoZero"/>
        <c:crossBetween val="between"/>
        <c:majorUnit val="15"/>
      </c:valAx>
      <c:valAx>
        <c:axId val="281472720"/>
        <c:scaling>
          <c:orientation val="minMax"/>
          <c:max val="105"/>
          <c:min val="0"/>
        </c:scaling>
        <c:delete val="1"/>
        <c:axPos val="r"/>
        <c:numFmt formatCode="0.00" sourceLinked="1"/>
        <c:majorTickMark val="out"/>
        <c:minorTickMark val="none"/>
        <c:tickLblPos val="none"/>
        <c:crossAx val="281486160"/>
        <c:crosses val="max"/>
        <c:crossBetween val="between"/>
        <c:majorUnit val="15"/>
        <c:minorUnit val="5"/>
      </c:valAx>
      <c:catAx>
        <c:axId val="281486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81472720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0.0651</cdr:x>
      <cdr:y>0.28871</cdr:y>
    </cdr:from>
    <cdr:to>
      <cdr:x>0.09091</cdr:x>
      <cdr:y>0.31701</cdr:y>
    </cdr:to>
    <cdr:sp macro="" textlink="">
      <cdr:nvSpPr>
        <cdr:cNvPr id="2" name="Блок-схема: перфолента 1"/>
        <cdr:cNvSpPr/>
      </cdr:nvSpPr>
      <cdr:spPr>
        <a:xfrm xmlns:a="http://schemas.openxmlformats.org/drawingml/2006/main">
          <a:off x="623944" y="1645919"/>
          <a:ext cx="247426" cy="161365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0.0101</cdr:x>
      <cdr:y>0.13397</cdr:y>
    </cdr:from>
    <cdr:to>
      <cdr:x>0.04377</cdr:x>
      <cdr:y>0.25097</cdr:y>
    </cdr:to>
    <cdr:sp macro="" textlink="">
      <cdr:nvSpPr>
        <cdr:cNvPr id="3" name="Блок-схема: процесс 2"/>
        <cdr:cNvSpPr/>
      </cdr:nvSpPr>
      <cdr:spPr>
        <a:xfrm xmlns:a="http://schemas.openxmlformats.org/drawingml/2006/main">
          <a:off x="96819" y="763793"/>
          <a:ext cx="322730" cy="666974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3A0A-230E-4A6D-A24B-9A888FFE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Вероника Евгеньевна</cp:lastModifiedBy>
  <cp:revision>56</cp:revision>
  <cp:lastPrinted>2020-12-17T12:05:00Z</cp:lastPrinted>
  <dcterms:created xsi:type="dcterms:W3CDTF">2020-09-17T11:25:00Z</dcterms:created>
  <dcterms:modified xsi:type="dcterms:W3CDTF">2021-02-19T13:23:00Z</dcterms:modified>
</cp:coreProperties>
</file>