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0E" w:rsidRDefault="003B3D0E">
      <w:pPr>
        <w:pStyle w:val="ConsPlusTitlePage"/>
      </w:pPr>
      <w:r>
        <w:t xml:space="preserve">Документ предоставлен </w:t>
      </w:r>
      <w:hyperlink r:id="rId4" w:history="1">
        <w:r>
          <w:rPr>
            <w:color w:val="0000FF"/>
          </w:rPr>
          <w:t>КонсультантПлюс</w:t>
        </w:r>
      </w:hyperlink>
      <w:r>
        <w:br/>
      </w:r>
    </w:p>
    <w:p w:rsidR="003B3D0E" w:rsidRDefault="003B3D0E">
      <w:pPr>
        <w:pStyle w:val="ConsPlusNormal"/>
        <w:jc w:val="both"/>
        <w:outlineLvl w:val="0"/>
      </w:pPr>
    </w:p>
    <w:p w:rsidR="003B3D0E" w:rsidRDefault="003B3D0E">
      <w:pPr>
        <w:pStyle w:val="ConsPlusTitle"/>
        <w:jc w:val="center"/>
      </w:pPr>
      <w:r>
        <w:t>ЦЕНТРАЛЬНЫЙ БАНК РОССИЙСКОЙ ФЕДЕРАЦИИ</w:t>
      </w:r>
    </w:p>
    <w:p w:rsidR="003B3D0E" w:rsidRDefault="003B3D0E">
      <w:pPr>
        <w:pStyle w:val="ConsPlusTitle"/>
        <w:jc w:val="center"/>
      </w:pPr>
    </w:p>
    <w:p w:rsidR="003B3D0E" w:rsidRDefault="003B3D0E">
      <w:pPr>
        <w:pStyle w:val="ConsPlusTitle"/>
        <w:jc w:val="center"/>
      </w:pPr>
      <w:r>
        <w:t>ИНФОРМАЦИЯ</w:t>
      </w:r>
    </w:p>
    <w:p w:rsidR="003B3D0E" w:rsidRDefault="003B3D0E">
      <w:pPr>
        <w:pStyle w:val="ConsPlusTitle"/>
        <w:jc w:val="center"/>
      </w:pPr>
      <w:r>
        <w:t>от 12 февраля 2021 года</w:t>
      </w:r>
    </w:p>
    <w:p w:rsidR="003B3D0E" w:rsidRDefault="003B3D0E">
      <w:pPr>
        <w:pStyle w:val="ConsPlusTitle"/>
        <w:jc w:val="center"/>
      </w:pPr>
    </w:p>
    <w:p w:rsidR="003B3D0E" w:rsidRDefault="003B3D0E">
      <w:pPr>
        <w:pStyle w:val="ConsPlusTitle"/>
        <w:jc w:val="center"/>
      </w:pPr>
      <w:r>
        <w:t>БАНК РОССИИ ПРИНЯЛ РЕШЕНИЕ</w:t>
      </w:r>
    </w:p>
    <w:p w:rsidR="003B3D0E" w:rsidRDefault="003B3D0E">
      <w:pPr>
        <w:pStyle w:val="ConsPlusTitle"/>
        <w:jc w:val="center"/>
      </w:pPr>
      <w:r>
        <w:t>СОХРАНИТЬ КЛЮЧЕВУЮ СТАВКУ НА УРОВНЕ 4,25% ГОДОВЫХ</w:t>
      </w:r>
    </w:p>
    <w:p w:rsidR="003B3D0E" w:rsidRDefault="003B3D0E">
      <w:pPr>
        <w:pStyle w:val="ConsPlusNormal"/>
        <w:jc w:val="both"/>
      </w:pPr>
    </w:p>
    <w:p w:rsidR="003B3D0E" w:rsidRDefault="003B3D0E">
      <w:pPr>
        <w:pStyle w:val="ConsPlusNormal"/>
        <w:ind w:firstLine="540"/>
        <w:jc w:val="both"/>
      </w:pPr>
      <w:r>
        <w:t xml:space="preserve">Совет директоров Банка России 12 февраля 2021 года принял решение сохранить </w:t>
      </w:r>
      <w:hyperlink r:id="rId5" w:history="1">
        <w:r>
          <w:rPr>
            <w:color w:val="0000FF"/>
          </w:rPr>
          <w:t>ключевую ставку</w:t>
        </w:r>
      </w:hyperlink>
      <w:r>
        <w:t xml:space="preserve"> на уровне 4,25% годовых. В декабре и январе темп роста цен сохранялся на повышенном уровне. Восстановление спроса происходит быстрее и носит более устойчивый характер, чем ожидалось ранее. При этом сохраняются ограничения со стороны предложения, что продолжает оказывать повышательное давление на цены. Инфляционные ожидания населения и бизнеса пока остаются на повышенном уровне. Ускоряющиеся темпы вакцинации, а также ожидания дополнительных мер бюджетной поддержки в отдельных странах способствуют росту цен на финансовых и товарных рынках. В этих условиях дезинфляционные риски перестали преобладать на годовом горизонте, а прогноз Банка России по инфляции на 2021 год повышен до 3,7 - 4,2%. В дальнейшем с учетом проводимой денежно-кредитной политики инфляция будет находиться вблизи 4%.</w:t>
      </w:r>
    </w:p>
    <w:p w:rsidR="003B3D0E" w:rsidRDefault="003B3D0E">
      <w:pPr>
        <w:pStyle w:val="ConsPlusNormal"/>
        <w:spacing w:before="200"/>
        <w:ind w:firstLine="540"/>
        <w:jc w:val="both"/>
      </w:pPr>
      <w:r>
        <w:t>При развитии ситуации в соответствии с базовым прогнозом Банк России будет определять сроки и темпы возврата к нейтральной денежно-кредитной политике, принимая во внимание по-прежнему высокую неоднородность текущих тенденций в экономике и динамике цен и с учетом фактической и ожидаемой динамики инфляции относительно цели, развития экономики на прогнозном горизонте, а также оценивая риски со стороны внутренних и внешних условий и реакции на них финансовых рынков.</w:t>
      </w:r>
    </w:p>
    <w:p w:rsidR="003B3D0E" w:rsidRDefault="003B3D0E">
      <w:pPr>
        <w:pStyle w:val="ConsPlusNormal"/>
        <w:spacing w:before="200"/>
        <w:ind w:firstLine="540"/>
        <w:jc w:val="both"/>
      </w:pPr>
      <w:r>
        <w:t>Динамика инфляции. Инфляция складывается выше прогноза Банка России. В январе годовой темп прироста потребительских цен увеличился до 5,2% (после 4,9% в декабре). Это в значительной мере связано с ростом цен на мировых товарных рынках и с продолжением переноса в цены произошедшего ранее ослабления рубля. Действие этих факторов может носить более продолжительный характер вследствие уже произошедшего ранее роста инфляционных ожиданий населения и бизнеса, а также сохраняющихся ограничений со стороны предложения. Меры Правительства ограничили рост цен на отдельные товары. Показатели текущего темпа роста потребительских цен, отражающие наиболее устойчивые процессы ценовой динамики, по оценкам Банка России, находятся вблизи 4% в годовом выражении.</w:t>
      </w:r>
    </w:p>
    <w:p w:rsidR="003B3D0E" w:rsidRDefault="003B3D0E">
      <w:pPr>
        <w:pStyle w:val="ConsPlusNormal"/>
        <w:spacing w:before="200"/>
        <w:ind w:firstLine="540"/>
        <w:jc w:val="both"/>
      </w:pPr>
      <w:r>
        <w:t>Инфляционные ожидания населения снизились, однако остаются на повышенных уровнях по сравнению с периодом до начала пандемии. Это в основном связано с произошедшим ранее ростом цен на отдельные товары повседневного спроса и курсовой волатильностью. Ценовые ожидания предприятий существенно не изменились после роста в предыдущие месяцы. Ожидания профессиональных аналитиков относительно инфляции в 2021 году и в среднесрочной перспективе заякорены вблизи 4%.</w:t>
      </w:r>
    </w:p>
    <w:p w:rsidR="003B3D0E" w:rsidRDefault="003B3D0E">
      <w:pPr>
        <w:pStyle w:val="ConsPlusNormal"/>
        <w:spacing w:before="200"/>
        <w:ind w:firstLine="540"/>
        <w:jc w:val="both"/>
      </w:pPr>
      <w:r>
        <w:t>Сдерживающее влияние внутреннего спроса на динамику цен ослабевает при сохраняющемся инфляционном давлении со стороны издержек предприятий. Наиболее заметными становятся такие проинфляционные факторы со стороны предложения, как дефицит рабочей силы по ряду специальностей и дополнительные затраты предприятий на соблюдение противоэпидемических норм. При сохранении действия данных факторов в предстоящие кварталы возвращение инфляции к цели Банка России может происходить медленнее, чем предполагалось ранее.</w:t>
      </w:r>
    </w:p>
    <w:p w:rsidR="003B3D0E" w:rsidRDefault="003B3D0E">
      <w:pPr>
        <w:pStyle w:val="ConsPlusNormal"/>
        <w:spacing w:before="200"/>
        <w:ind w:firstLine="540"/>
        <w:jc w:val="both"/>
      </w:pPr>
      <w:r>
        <w:t>По прогнозу Банка России, в феврале - марте годовая инфляция достигнет своего максимума и в дальнейшем будет снижаться. Траектория снижения будет определяться сроками исчерпания действия проинфляционных факторов, а также эффектами базы 2020 года. В базовом сценарии с учетом проводимой денежно-кредитной политики годовая инфляция составит 3,7 - 4,2% в 2021 году и останется вблизи 4% в дальнейшем.</w:t>
      </w:r>
    </w:p>
    <w:p w:rsidR="003B3D0E" w:rsidRDefault="003B3D0E">
      <w:pPr>
        <w:pStyle w:val="ConsPlusNormal"/>
        <w:spacing w:before="200"/>
        <w:ind w:firstLine="540"/>
        <w:jc w:val="both"/>
      </w:pPr>
      <w:r>
        <w:t xml:space="preserve">Денежно-кредитные условия остаются мягкими и с момента предыдущего заседания Совета директоров Банка России существенно не изменились. Доходности ОФЗ несколько возросли на фоне повышения ожиданий по инфляции, роста долгосрочных ставок на мировых финансовых рынках, а также сохранения геополитической напряженности. Ускоряющиеся темпы вакцинации, а </w:t>
      </w:r>
      <w:r>
        <w:lastRenderedPageBreak/>
        <w:t>также ожидания дополнительных мер бюджетной поддержки в отдельных странах способствуют росту цен на финансовых и товарных рынках. Кредитные и депозитные ставки преимущественно оставались неизменными. Вместе с тем повышенные темпы роста цен и рост инфляционных ожиданий в последние месяцы означают, что в реальном выражении ценовые условия кредитования несколько смягчились. В отдельных сегментах банки продолжили смягчать и неценовые условия кредитования. На этом фоне продолжилось расширение кредитования. Наряду с мягкими денежно-кредитными условиями на динамику кредитования оказывают влияние льготные программы Правительства, а также регуляторные послабления. При принятии решений по ключевой ставке Банк России будет оценивать, насколько прекращение действия указанных антикризисных мер будет влиять на денежно-кредитные условия.</w:t>
      </w:r>
    </w:p>
    <w:p w:rsidR="003B3D0E" w:rsidRDefault="003B3D0E">
      <w:pPr>
        <w:pStyle w:val="ConsPlusNormal"/>
        <w:spacing w:before="200"/>
        <w:ind w:firstLine="540"/>
        <w:jc w:val="both"/>
      </w:pPr>
      <w:r>
        <w:t>Экономическая активность. ВВП в 2020 году сократился на 3,1%. Это меньше, чем Банк России ожидал ранее. Восстановление экономики, по оценкам Банка России, продолжалось и в IV квартале 2020 года. Ухудшение эпидемической обстановки в России и в мире оказало гораздо менее значимое сдерживающее влияние на экономику, чем ожидалось. Это связано с точечным характером ограничительных мер и значительной адаптацией граждан и предприятий к новым условиям. В IV квартале 2020 года продолжалось восстановление реальных доходов населения и началось снижение безработицы.</w:t>
      </w:r>
    </w:p>
    <w:p w:rsidR="003B3D0E" w:rsidRDefault="003B3D0E">
      <w:pPr>
        <w:pStyle w:val="ConsPlusNormal"/>
        <w:spacing w:before="200"/>
        <w:ind w:firstLine="540"/>
        <w:jc w:val="both"/>
      </w:pPr>
      <w:r>
        <w:t>Оперативные индикаторы экономической активности свидетельствуют о продолжении восстановления экономики в начале 2021 года. Темпы восстановления будут поддержаны улучшением потребительских и деловых настроений на фоне частичного снятия ограничительных мер и вакцинации населения от коронавируса.</w:t>
      </w:r>
    </w:p>
    <w:p w:rsidR="003B3D0E" w:rsidRDefault="003B3D0E">
      <w:pPr>
        <w:pStyle w:val="ConsPlusNormal"/>
        <w:spacing w:before="200"/>
        <w:ind w:firstLine="540"/>
        <w:jc w:val="both"/>
      </w:pPr>
      <w:r>
        <w:t>Банк России прогнозирует восстановительный рост российской экономики в 2021 году на 3,0 - 4,0%. Однако масштабы восстановления в отдельных отраслях могут по-прежнему сильно различаться. В 2022 - 2023 годах ВВП, по прогнозу Банка России, вырастет на 2,5 - 3,5 и 2,0 - 3,0% соответственно. На среднесрочную траекторию экономического роста значимое влияние будут оказывать динамика пандемии коронавируса в России и в мире, характер восстановления частного спроса в условиях возможного изменения поведения населения и бизнеса, а также траектория бюджетной консолидации. Мягкая денежно-кредитная политика продолжит оказывать поддержку экономике в течение 2021 года.</w:t>
      </w:r>
    </w:p>
    <w:p w:rsidR="003B3D0E" w:rsidRDefault="003B3D0E">
      <w:pPr>
        <w:pStyle w:val="ConsPlusNormal"/>
        <w:spacing w:before="200"/>
        <w:ind w:firstLine="540"/>
        <w:jc w:val="both"/>
      </w:pPr>
      <w:r>
        <w:t>Инфляционные риски. Дезинфляционные риски перестали преобладать на горизонте 2021 года. Действие проинфляционных факторов может оказаться более продолжительным и выраженным в условиях более быстрого восстановления спроса, а также произошедшего ранее роста инфляционных ожиданий и сопутствующих вторичных эффектов.</w:t>
      </w:r>
    </w:p>
    <w:p w:rsidR="003B3D0E" w:rsidRDefault="003B3D0E">
      <w:pPr>
        <w:pStyle w:val="ConsPlusNormal"/>
        <w:spacing w:before="200"/>
        <w:ind w:firstLine="540"/>
        <w:jc w:val="both"/>
      </w:pPr>
      <w:r>
        <w:t>Повышательное давление на цены могут оказывать временно сохраняющиеся затруднения в производственных и логистических цепочках, а также дополнительные издержки предприятий, связанные с защитой работников и потребителей от угрозы распространения коронавируса. Проинфляционные риски создает динамика внутренних цен на отдельные продовольственные товары под влиянием факторов со стороны предложения и конъюнктуры соответствующих мировых рынков.</w:t>
      </w:r>
    </w:p>
    <w:p w:rsidR="003B3D0E" w:rsidRDefault="003B3D0E">
      <w:pPr>
        <w:pStyle w:val="ConsPlusNormal"/>
        <w:spacing w:before="200"/>
        <w:ind w:firstLine="540"/>
        <w:jc w:val="both"/>
      </w:pPr>
      <w:r>
        <w:t>Краткосрочные проинфляционные риски также связаны с усилением волатильности на глобальных рынках, в том числе под влиянием различных геополитических событий, что может отражаться на курсовых и инфляционных ожиданиях. Также в условиях более быстрого, чем ожидалось ранее, восстановления мировой экономики и, соответственно, исчерпания необходимости проведения беспрецедентно стимулирующей политики в развитых экономиках возможно более раннее начало нормализации денежно-кредитной политики в этих странах. Это может стать дополнительным фактором роста волатильности на мировых финансовых рынках.</w:t>
      </w:r>
    </w:p>
    <w:p w:rsidR="003B3D0E" w:rsidRDefault="003B3D0E">
      <w:pPr>
        <w:pStyle w:val="ConsPlusNormal"/>
        <w:spacing w:before="200"/>
        <w:ind w:firstLine="540"/>
        <w:jc w:val="both"/>
      </w:pPr>
      <w:r>
        <w:t>Дезинфляционные риски для базового сценария в основном связаны с более слабым восстановлением спроса в России и в мире. Замедлить восстановление экономической активности могут, в частности, распространение новых штаммов вируса и более низкие темпы вакцинации, а также ужесточение ограничительных мер. Сдерживающее влияние на динамику инфляции могут также оказать устойчивые изменения в предпочтениях и поведении населения, в том числе возможное устойчивое повышение склонности к сбережению; более медленное восстановление доходов населения. В свою очередь открытие границ по мере снятия ограничительных мер может восстановить потребление зарубежных услуг, а также ослабить ограничения со стороны предложения на рынке труда через приток иностранной рабочей силы.</w:t>
      </w:r>
    </w:p>
    <w:p w:rsidR="003B3D0E" w:rsidRDefault="003B3D0E">
      <w:pPr>
        <w:pStyle w:val="ConsPlusNormal"/>
        <w:spacing w:before="200"/>
        <w:ind w:firstLine="540"/>
        <w:jc w:val="both"/>
      </w:pPr>
      <w:r>
        <w:t xml:space="preserve">Сохраняется неопределенность относительно долгосрочных структурных последствий </w:t>
      </w:r>
      <w:r>
        <w:lastRenderedPageBreak/>
        <w:t>пандемии коронавируса для российской и мировой экономики, в частности масштаба снижения потенциала российской экономики. Значимое влияние на потенциал глобального роста также могут оказывать геополитические факторы, в том числе обострение торговых противоречий. Масштаб отклонения российской экономики от потенциала, в частности в потребительском секторе экономики, является определяющим фактором для среднесрочной динамики инфляции.</w:t>
      </w:r>
    </w:p>
    <w:p w:rsidR="003B3D0E" w:rsidRDefault="003B3D0E">
      <w:pPr>
        <w:pStyle w:val="ConsPlusNormal"/>
        <w:spacing w:before="200"/>
        <w:ind w:firstLine="540"/>
        <w:jc w:val="both"/>
      </w:pPr>
      <w:r>
        <w:t>На среднесрочную динамику инфляции значимо влияет бюджетная политика. В базовом сценарии Банк России исходит из параметров федерального бюджета и бюджетов субъектов Федерации, отраженных в Основных направлениях бюджетной, налоговой и таможенно-тарифной политики на 2021 год и на плановый период 2022 и 2023 годов, а также заявленных сроков завершения антикризисных мер Правительства и Банка России.</w:t>
      </w:r>
    </w:p>
    <w:p w:rsidR="003B3D0E" w:rsidRDefault="003B3D0E">
      <w:pPr>
        <w:pStyle w:val="ConsPlusNormal"/>
        <w:spacing w:before="200"/>
        <w:ind w:firstLine="540"/>
        <w:jc w:val="both"/>
      </w:pPr>
      <w:r>
        <w:t>При развитии ситуации в соответствии с базовым прогнозом Банк России будет определять сроки и темпы возврата к нейтральной денежно-кредитной политике, принимая во внимание по-прежнему высокую неоднородность текущих тенденций в экономике и динамике цен и с учетом фактической и ожидаемой динамики инфляции относительно цели, развития экономики на прогнозном горизонте, а также оценивая риски со стороны внутренних и внешних условий и реакции на них финансовых рынков.</w:t>
      </w:r>
    </w:p>
    <w:p w:rsidR="003B3D0E" w:rsidRDefault="003B3D0E">
      <w:pPr>
        <w:pStyle w:val="ConsPlusNormal"/>
        <w:spacing w:before="200"/>
        <w:ind w:firstLine="540"/>
        <w:jc w:val="both"/>
      </w:pPr>
      <w:r>
        <w:t>По итогам заседания Совета директоров по ключевой ставке 12 февраля 2021 года Банк России опубликовал среднесрочный прогноз.</w:t>
      </w:r>
    </w:p>
    <w:p w:rsidR="003B3D0E" w:rsidRDefault="003B3D0E">
      <w:pPr>
        <w:pStyle w:val="ConsPlusNormal"/>
        <w:spacing w:before="200"/>
        <w:ind w:firstLine="540"/>
        <w:jc w:val="both"/>
      </w:pPr>
      <w:r>
        <w:t>Следующее заседание Совета директоров Банка России, на котором будет рассматриваться вопрос об уровне ключевой ставки, запланировано на 19 марта 2021 года. Время публикации пресс-релиза о решении Совета директоров Банка России - 13·30 по московскому времени.</w:t>
      </w:r>
    </w:p>
    <w:p w:rsidR="003B3D0E" w:rsidRDefault="003B3D0E">
      <w:pPr>
        <w:pStyle w:val="ConsPlusNormal"/>
        <w:jc w:val="both"/>
      </w:pPr>
    </w:p>
    <w:p w:rsidR="003B3D0E" w:rsidRDefault="003B3D0E">
      <w:pPr>
        <w:pStyle w:val="ConsPlusNormal"/>
        <w:jc w:val="both"/>
      </w:pPr>
    </w:p>
    <w:p w:rsidR="003B3D0E" w:rsidRDefault="003B3D0E">
      <w:pPr>
        <w:pStyle w:val="ConsPlusNormal"/>
        <w:pBdr>
          <w:top w:val="single" w:sz="6" w:space="0" w:color="auto"/>
        </w:pBdr>
        <w:spacing w:before="100" w:after="100"/>
        <w:jc w:val="both"/>
        <w:rPr>
          <w:sz w:val="2"/>
          <w:szCs w:val="2"/>
        </w:rPr>
      </w:pPr>
    </w:p>
    <w:p w:rsidR="00E81395" w:rsidRDefault="00E81395">
      <w:bookmarkStart w:id="0" w:name="_GoBack"/>
      <w:bookmarkEnd w:id="0"/>
    </w:p>
    <w:sectPr w:rsidR="00E81395" w:rsidSect="00F71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0E"/>
    <w:rsid w:val="003B3D0E"/>
    <w:rsid w:val="00E81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6632C-4ADA-4632-9F95-170C6048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D0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3B3D0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3B3D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473C347F9A3FDCEBCE44469F36B7A2F5CBC91FE5CB65730B9DA16D02466019F2B5DB8DFCD29736D49D730907FEEBFE60FA28A4519D5361DYEqFN"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2021-02-24T13:42:00Z</dcterms:created>
  <dcterms:modified xsi:type="dcterms:W3CDTF">2021-02-24T13:42:00Z</dcterms:modified>
</cp:coreProperties>
</file>