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0784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3C77D6">
              <w:rPr>
                <w:rFonts w:ascii="PT Astra Serif" w:hAnsi="PT Astra Serif"/>
                <w:b/>
                <w:sz w:val="48"/>
                <w:szCs w:val="48"/>
              </w:rPr>
              <w:t>1 квартал</w:t>
            </w:r>
            <w:r w:rsidR="003542F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>21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3860B4" w:rsidRPr="003860B4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>на диаграммах 1</w:t>
      </w:r>
      <w:r w:rsidR="00AE0F68" w:rsidRPr="00D04553">
        <w:rPr>
          <w:rFonts w:ascii="PT Astra Serif" w:hAnsi="PT Astra Serif"/>
          <w:sz w:val="28"/>
        </w:rPr>
        <w:t>-</w:t>
      </w:r>
      <w:r w:rsidR="003860B4" w:rsidRPr="003860B4">
        <w:rPr>
          <w:rFonts w:ascii="PT Astra Serif" w:hAnsi="PT Astra Serif"/>
          <w:sz w:val="28"/>
        </w:rPr>
        <w:t>10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0A7693">
        <w:rPr>
          <w:rFonts w:ascii="PT Astra Serif" w:hAnsi="PT Astra Serif"/>
          <w:sz w:val="28"/>
          <w:szCs w:val="28"/>
        </w:rPr>
        <w:br/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>, РИС АЦК-Госзаказ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45</w:t>
      </w:r>
      <w:r w:rsidR="007A7A50" w:rsidRPr="00E424B1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 государственных заказчиков Ульяновской области на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 на бюджет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источников финансирования 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</w:t>
      </w:r>
      <w:r w:rsidR="004A3DFF">
        <w:rPr>
          <w:rFonts w:ascii="PT Astra Serif" w:hAnsi="PT Astra Serif"/>
          <w:sz w:val="28"/>
          <w:szCs w:val="28"/>
        </w:rPr>
        <w:t>Ф от 26.04.2020 № ММ-П43-4054кв</w:t>
      </w:r>
      <w:r>
        <w:rPr>
          <w:rFonts w:ascii="PT Astra Serif" w:hAnsi="PT Astra Serif"/>
          <w:sz w:val="28"/>
          <w:szCs w:val="28"/>
        </w:rPr>
        <w:t>)</w:t>
      </w:r>
      <w:r w:rsidR="00D52FC5" w:rsidRPr="00D52FC5">
        <w:rPr>
          <w:rFonts w:ascii="PT Astra Serif" w:hAnsi="PT Astra Serif"/>
          <w:sz w:val="28"/>
          <w:szCs w:val="28"/>
        </w:rPr>
        <w:t xml:space="preserve"> </w:t>
      </w:r>
      <w:r w:rsidR="00D52FC5">
        <w:rPr>
          <w:rFonts w:ascii="PT Astra Serif" w:hAnsi="PT Astra Serif"/>
          <w:sz w:val="28"/>
          <w:szCs w:val="28"/>
        </w:rPr>
        <w:t>(еженедельно)</w:t>
      </w:r>
      <w:r>
        <w:rPr>
          <w:rFonts w:ascii="PT Astra Serif" w:hAnsi="PT Astra Serif"/>
          <w:sz w:val="28"/>
          <w:szCs w:val="28"/>
        </w:rPr>
        <w:t>.</w:t>
      </w: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5E22" w:rsidRPr="00F67B64" w:rsidRDefault="00C05E22" w:rsidP="00C05E22">
      <w:pPr>
        <w:spacing w:after="0" w:line="240" w:lineRule="auto"/>
        <w:ind w:left="1069"/>
        <w:jc w:val="both"/>
        <w:rPr>
          <w:rFonts w:ascii="PT Astra Serif" w:hAnsi="PT Astra Serif"/>
          <w:sz w:val="16"/>
          <w:szCs w:val="16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lastRenderedPageBreak/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заказчиков</w:t>
      </w:r>
      <w:r w:rsidR="00630613">
        <w:rPr>
          <w:rFonts w:ascii="PT Astra Serif" w:hAnsi="PT Astra Serif"/>
          <w:sz w:val="28"/>
          <w:szCs w:val="28"/>
        </w:rPr>
        <w:t xml:space="preserve"> </w:t>
      </w:r>
      <w:r w:rsidRPr="009F725E">
        <w:rPr>
          <w:rFonts w:ascii="PT Astra Serif" w:hAnsi="PT Astra Serif"/>
          <w:sz w:val="28"/>
          <w:szCs w:val="28"/>
        </w:rPr>
        <w:t xml:space="preserve">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4A3DFF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/>
                <w:sz w:val="24"/>
                <w:szCs w:val="24"/>
              </w:rPr>
              <w:t>Особенности планирования закупок товаров, работ, услуг на 2021 год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  <w:t>Обзор изменений и нововведений в Федеральный закон от 05.04.2013 № 44-ФЗ.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Применение единого структурированного справочника-каталога лекарственных препаратов для медицинского применения в единой информационной системе в сфере закупок.</w:t>
            </w:r>
          </w:p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</w:p>
          <w:p w:rsidR="00E424B1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2. Обзор решений УФАС по Ульяновской области, касающихся вопросов применения национального режима при осуществлении закупок.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30613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27.01.2021</w:t>
            </w:r>
          </w:p>
        </w:tc>
        <w:tc>
          <w:tcPr>
            <w:tcW w:w="5529" w:type="dxa"/>
          </w:tcPr>
          <w:p w:rsidR="00630613" w:rsidRDefault="00630613" w:rsidP="004A3D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Заведение новых казначейских счетов</w:t>
            </w:r>
          </w:p>
          <w:p w:rsidR="00630613" w:rsidRPr="004A3DFF" w:rsidRDefault="00630613" w:rsidP="004A3D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613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1 группа</w:t>
            </w:r>
          </w:p>
          <w:p w:rsidR="004A3DFF" w:rsidRPr="004A3DFF" w:rsidRDefault="004A3DFF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E424B1" w:rsidRPr="004A3DFF" w:rsidRDefault="004A3DFF" w:rsidP="004A3DFF">
            <w:pPr>
              <w:spacing w:before="100" w:beforeAutospacing="1" w:after="100" w:afterAutospacing="1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E424B1" w:rsidRPr="004A3DFF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30613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2 группа</w:t>
            </w:r>
          </w:p>
          <w:p w:rsidR="00630613" w:rsidRPr="004A3DFF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630613" w:rsidRPr="004A3DFF" w:rsidRDefault="00630613" w:rsidP="00630613">
            <w:pPr>
              <w:spacing w:before="100" w:beforeAutospacing="1" w:after="100" w:afterAutospacing="1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630613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04.02.2021</w:t>
            </w:r>
          </w:p>
        </w:tc>
        <w:tc>
          <w:tcPr>
            <w:tcW w:w="5529" w:type="dxa"/>
          </w:tcPr>
          <w:p w:rsidR="00307844" w:rsidRPr="00307844" w:rsidRDefault="00307844" w:rsidP="00307844">
            <w:pPr>
              <w:pStyle w:val="af"/>
              <w:jc w:val="both"/>
              <w:rPr>
                <w:rStyle w:val="docssharedwiztogglelabeledlabeltext"/>
                <w:rFonts w:ascii="PT Astra Serif" w:eastAsia="Calibri" w:hAnsi="PT Astra Serif"/>
                <w:lang w:eastAsia="en-US"/>
              </w:rPr>
            </w:pPr>
            <w:r w:rsidRPr="00307844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>Изменения КБК: вопросы перерегистрации контрактов в системе АЦК-Госзаказ.</w:t>
            </w:r>
            <w:r w:rsidRPr="00307844">
              <w:rPr>
                <w:rStyle w:val="docssharedwiztogglelabeledlabeltext"/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Изменения КБК: вопросы перерегистрации контрактов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Порядок применения типового контракта на выполнение работ по монтажу систем (средств, </w:t>
            </w: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lastRenderedPageBreak/>
              <w:t>установок) обеспечения пожарной безопасности зданий и сооружений.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государственными унитарными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предприятиями (группа 1)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енными унитарными предприятиями (группа 2)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5529" w:type="dxa"/>
          </w:tcPr>
          <w:p w:rsidR="003C77D6" w:rsidRPr="003C77D6" w:rsidRDefault="003C77D6" w:rsidP="003C77D6">
            <w:pPr>
              <w:pStyle w:val="af"/>
              <w:jc w:val="both"/>
              <w:rPr>
                <w:rStyle w:val="docssharedwiztogglelabeledlabeltext"/>
                <w:rFonts w:ascii="PT Astra Serif" w:hAnsi="PT Astra Serif"/>
              </w:rPr>
            </w:pPr>
            <w:r w:rsidRPr="003C77D6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 xml:space="preserve">Особенности работы комиссии при установлении запретов на допуск и ограничений допуска товаров, работ, услуг, происходящих из иностранных государств (постановления Правительства РФ № 616 и № 617 от 30.04.2020, постановление Правительства РФ от 10.07.2019 </w:t>
            </w:r>
            <w:r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br/>
              <w:t>№ 878)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3C77D6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Обесп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ечение гарантийных обязательств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3C77D6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Модернизация функционала системы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br/>
            </w: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АЦК-Госзаказ в соответствии с изменениями законодательства о контрактн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ой системе с 1 апреля 2021 года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3C77D6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742</w:t>
            </w:r>
          </w:p>
        </w:tc>
      </w:tr>
    </w:tbl>
    <w:p w:rsidR="00300929" w:rsidRDefault="00300929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7844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Pr="008516EF" w:rsidRDefault="00307844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8B368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7D6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0613" w:rsidRPr="008516EF" w:rsidTr="00630613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C77D6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lastRenderedPageBreak/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CB313B" w:rsidRPr="00CB313B">
        <w:rPr>
          <w:rFonts w:ascii="PT Astra Serif" w:hAnsi="PT Astra Serif"/>
          <w:color w:val="000000"/>
          <w:sz w:val="28"/>
          <w:szCs w:val="28"/>
        </w:rPr>
        <w:t>4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CB313B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Таблица 4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8B368C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6D71B5" w:rsidRDefault="007909B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E613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</w:tr>
      <w:tr w:rsidR="008B368C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Pr="006D71B5" w:rsidRDefault="008B368C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364</w:t>
            </w:r>
          </w:p>
        </w:tc>
      </w:tr>
      <w:tr w:rsidR="003C77D6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830</w:t>
            </w:r>
          </w:p>
        </w:tc>
      </w:tr>
      <w:tr w:rsidR="00E61395" w:rsidRPr="008516EF" w:rsidTr="008B368C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6D71B5" w:rsidRDefault="00E61395" w:rsidP="00E6139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3C77D6" w:rsidP="00E6139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3C77D6" w:rsidP="008B368C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3C77D6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3C77D6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60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3C77D6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1432</w:t>
            </w:r>
          </w:p>
        </w:tc>
      </w:tr>
    </w:tbl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B368C" w:rsidRDefault="008B368C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ОГКУ «Центр по сопровождению закупок» осуществляется 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 xml:space="preserve">заключённых заказчиками контрактов, размещённых в единой информационной системе в сфере закупок в соответствии с 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 xml:space="preserve">Законом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№ 44-ФЗ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4FC2" w:rsidRPr="007F4FC2" w:rsidRDefault="007F4FC2" w:rsidP="007F4FC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проводится за определённый временной промежуток в разрезе закупок Ульяновской области и/или в сравнении с закупками Приволжского Федерального округа и по России в целом. </w:t>
      </w:r>
    </w:p>
    <w:p w:rsidR="003035FA" w:rsidRDefault="003035F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C0BD3" w:rsidRPr="005C0BD3" w:rsidRDefault="00350184" w:rsidP="000411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350184" w:rsidRPr="005C0BD3" w:rsidRDefault="00350184" w:rsidP="0004111C">
      <w:pPr>
        <w:pStyle w:val="a3"/>
        <w:spacing w:after="0" w:line="240" w:lineRule="auto"/>
        <w:ind w:left="0"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AF3B54" w:rsidRDefault="007F4FC2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 w:rsid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4632E" w:rsidRDefault="00350184" w:rsidP="0084632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 xml:space="preserve">-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.2021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подготовлены и направлены сведения от Ульяновской области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расчёта Рейтинга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РФ за 2020 год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59исх.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DE10C1" w:rsidRDefault="00C762D3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25.03.2021 </w:t>
      </w:r>
      <w:r w:rsidR="002C3B2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открыто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заседани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ООО ГОС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и партнеров 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val="en-US" w:eastAsia="ru-RU"/>
        </w:rPr>
        <w:t>XVI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сероссийско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форум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-выставки «ГОСЗАКАЗ»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ая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ь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награждена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диплом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Рейтинга эффективности и прозрачности закупочных систем регионов Российской Федерации за 2020 год</w:t>
      </w:r>
      <w:r w:rsid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3506F" w:rsidRPr="0083506F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«Лидер»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показателю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Высший уровень Рейтинга по показателям: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закупок региона»,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региона»,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762D3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 «Оценка информационной инфраструктуры закупок 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осуществления закупочных процедур»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региона»,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осуществления закупочных процедур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«Снятие административных барьеров и обеспечение доступности информации о региональной системе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муниципальных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 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Нормативная база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закупок 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муниципальных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».</w:t>
      </w:r>
    </w:p>
    <w:p w:rsidR="0083506F" w:rsidRPr="00C762D3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C0BD3" w:rsidRPr="005C0BD3" w:rsidRDefault="005C0BD3" w:rsidP="0004111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5C0BD3" w:rsidRPr="005C0BD3" w:rsidRDefault="005C0BD3" w:rsidP="005C0BD3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Неделях контрактных отношений и закупок Ульяновской области</w:t>
      </w:r>
    </w:p>
    <w:p w:rsidR="005C0BD3" w:rsidRDefault="005C0BD3" w:rsidP="005C0BD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24-26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 «</w:t>
      </w:r>
      <w:r w:rsidRPr="003773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Нам есть чем гордиться: результаты, достижения, перспективные направления в сфере региональных закупок</w:t>
      </w:r>
      <w:r w:rsidR="000411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5C0BD3" w:rsidRPr="00124B33" w:rsidRDefault="005C0BD3" w:rsidP="005C0BD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124B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человек).</w:t>
      </w:r>
    </w:p>
    <w:p w:rsidR="00A84C1B" w:rsidRDefault="005C0BD3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</w:t>
      </w:r>
      <w:r w:rsid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 2020 год по:</w:t>
      </w:r>
    </w:p>
    <w:p w:rsidR="005C0BD3" w:rsidRDefault="00A84C1B" w:rsidP="005C0B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="005C0BD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основны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закупок в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A84C1B" w:rsidRPr="00A84C1B" w:rsidRDefault="00A84C1B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Рейтингу муниципальных образований Ульяновской области по итогам осуществления ими закупочной деятельности;</w:t>
      </w:r>
    </w:p>
    <w:p w:rsidR="00A84C1B" w:rsidRDefault="00A84C1B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участию организаций инвалидов в государственных и муниципальных закупках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5C0BD3" w:rsidRDefault="005C0BD3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C0BD3" w:rsidRDefault="005C0BD3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C0BD3" w:rsidRPr="00F1231A" w:rsidRDefault="005C0BD3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CD79F5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CBBF66" wp14:editId="547A884A">
            <wp:extent cx="9458325" cy="5734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57F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647DE8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647DE8" w:rsidRPr="000842DB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аграмма1</w:t>
                  </w:r>
                </w:p>
              </w:txbxContent>
            </v:textbox>
          </v:shape>
        </w:pict>
      </w:r>
    </w:p>
    <w:p w:rsidR="00B52CCB" w:rsidRDefault="00B52CCB" w:rsidP="00111E7E">
      <w:pPr>
        <w:rPr>
          <w:noProof/>
          <w:lang w:eastAsia="ru-RU"/>
        </w:rPr>
      </w:pPr>
    </w:p>
    <w:p w:rsidR="00D04553" w:rsidRDefault="00657FBF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15" type="#_x0000_t202" style="position:absolute;margin-left:647.8pt;margin-top:-18.35pt;width:101pt;height:32.7pt;z-index:251666944" stroked="f">
            <v:textbox style="mso-next-textbox:#_x0000_s1115">
              <w:txbxContent>
                <w:p w:rsidR="00647DE8" w:rsidRPr="00937DDA" w:rsidRDefault="00647DE8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</w:p>
    <w:p w:rsidR="00B52CCB" w:rsidRDefault="00CD79F5" w:rsidP="00FC2EE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B9DA9" wp14:editId="15BC2C4F">
            <wp:extent cx="9133609" cy="5174672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CC8" w:rsidRDefault="00CD79F5" w:rsidP="00FC2E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B9FB12" wp14:editId="3BE19B89">
            <wp:extent cx="9393382" cy="5694218"/>
            <wp:effectExtent l="0" t="0" r="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074" type="#_x0000_t202" style="position:absolute;margin-left:652.05pt;margin-top:-34.4pt;width:101pt;height:32.7pt;z-index:251656704;mso-position-horizontal-relative:text;mso-position-vertical-relative:text" stroked="f">
            <v:textbox style="mso-next-textbox:#_x0000_s1074">
              <w:txbxContent>
                <w:p w:rsidR="00647DE8" w:rsidRPr="00937DDA" w:rsidRDefault="00647DE8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</w:p>
    <w:p w:rsidR="006F2CC8" w:rsidRDefault="00657FBF" w:rsidP="00FC2EE9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90" type="#_x0000_t202" style="position:absolute;margin-left:-5.2pt;margin-top:1.7pt;width:758.25pt;height:43.5pt;z-index:251662848;mso-position-horizontal-relative:text;mso-position-vertical-relative:text" stroked="f">
            <v:textbox style="mso-next-textbox:#_x0000_s1090">
              <w:txbxContent>
                <w:p w:rsidR="00647DE8" w:rsidRPr="008B53EE" w:rsidRDefault="00647DE8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</w:txbxContent>
            </v:textbox>
          </v:shape>
        </w:pict>
      </w:r>
    </w:p>
    <w:p w:rsidR="00B52CCB" w:rsidRDefault="00657FBF" w:rsidP="00FC2EE9">
      <w:r>
        <w:rPr>
          <w:noProof/>
          <w:lang w:eastAsia="ru-RU"/>
        </w:rPr>
        <w:lastRenderedPageBreak/>
        <w:pict>
          <v:shape id="_x0000_s1066" type="#_x0000_t202" style="position:absolute;margin-left:641.55pt;margin-top:-28.45pt;width:91.25pt;height:27.75pt;z-index:251651584;mso-position-horizontal-relative:text;mso-position-vertical-relative:text" stroked="f">
            <v:textbox style="mso-next-textbox:#_x0000_s1066">
              <w:txbxContent>
                <w:p w:rsidR="00647DE8" w:rsidRPr="00937DDA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4</w:t>
                  </w:r>
                </w:p>
              </w:txbxContent>
            </v:textbox>
          </v:shape>
        </w:pict>
      </w:r>
      <w:r w:rsidR="00CD79F5">
        <w:rPr>
          <w:noProof/>
          <w:lang w:eastAsia="ru-RU"/>
        </w:rPr>
        <w:drawing>
          <wp:inline distT="0" distB="0" distL="0" distR="0">
            <wp:extent cx="9631045" cy="5037641"/>
            <wp:effectExtent l="0" t="0" r="0" b="0"/>
            <wp:docPr id="6" name="Рисунок 6" descr="Z:\ОТДЕЛ МОНИТОРИНГА И ОТЧЕТНОСТИ\!!!ОТЧЁТ 2021\огку 2021\март\для отчета\грбс процед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НИТОРИНГА И ОТЧЕТНОСТИ\!!!ОТЧЁТ 2021\огку 2021\март\для отчета\грбс процедуры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0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B" w:rsidRPr="00395057" w:rsidRDefault="00657FBF" w:rsidP="00395057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117" type="#_x0000_t202" style="position:absolute;margin-left:9.75pt;margin-top:10.6pt;width:756.85pt;height:37.5pt;z-index:251667968;mso-position-horizontal-relative:text;mso-position-vertical-relative:text" stroked="f">
            <v:textbox style="mso-next-textbox:#_x0000_s1117">
              <w:txbxContent>
                <w:p w:rsidR="00647DE8" w:rsidRPr="008B53EE" w:rsidRDefault="00647DE8" w:rsidP="00CB7043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</w:t>
                  </w:r>
                  <w:r>
                    <w:rPr>
                      <w:rFonts w:ascii="PT Astra Serif" w:hAnsi="PT Astra Serif"/>
                    </w:rPr>
                    <w:t>закупки, проведенные как через уполномоченный орган, так и самостоятельно заказчиками</w:t>
                  </w:r>
                </w:p>
                <w:p w:rsidR="00647DE8" w:rsidRPr="008B53EE" w:rsidRDefault="00647DE8" w:rsidP="00823BF0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p w:rsidR="000C3C6A" w:rsidRPr="000C3C6A" w:rsidRDefault="00CD79F5" w:rsidP="000C3C6A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450230" wp14:editId="3A71E7AB">
            <wp:extent cx="9466118" cy="5683827"/>
            <wp:effectExtent l="0" t="0" r="19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113" type="#_x0000_t202" style="position:absolute;left:0;text-align:left;margin-left:652.8pt;margin-top:-23.9pt;width:91.25pt;height:27.75pt;z-index:251665920;mso-position-horizontal-relative:text;mso-position-vertical-relative:text" stroked="f">
            <v:textbox style="mso-next-textbox:#_x0000_s1113">
              <w:txbxContent>
                <w:p w:rsidR="00647DE8" w:rsidRPr="00937DDA" w:rsidRDefault="00647DE8" w:rsidP="000C3C6A">
                  <w:pPr>
                    <w:rPr>
                      <w:rFonts w:ascii="PT Astra Serif" w:hAnsi="PT Astra Serif"/>
                      <w:sz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</w:rPr>
                    <w:t xml:space="preserve">Диаграмма </w:t>
                  </w:r>
                  <w:r>
                    <w:rPr>
                      <w:rFonts w:ascii="PT Astra Serif" w:hAnsi="PT Astra Serif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B52CCB" w:rsidRDefault="00B52CCB" w:rsidP="00111E7E">
      <w:pPr>
        <w:tabs>
          <w:tab w:val="left" w:pos="2160"/>
        </w:tabs>
        <w:rPr>
          <w:noProof/>
          <w:lang w:eastAsia="ru-RU"/>
        </w:rPr>
      </w:pPr>
    </w:p>
    <w:p w:rsidR="00D04553" w:rsidRDefault="00CD79F5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86825" cy="6486525"/>
            <wp:effectExtent l="0" t="0" r="0" b="0"/>
            <wp:docPr id="9" name="Рисунок 9" descr="Z:\ОТДЕЛ МОНИТОРИНГА И ОТЧЕТНОСТИ\!!!ОТЧЁТ 2021\огку 2021\март\для отчета\мин про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ОНИТОРИНГА И ОТЧЕТНОСТИ\!!!ОТЧЁТ 2021\огку 2021\март\для отчета\мин просв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068" type="#_x0000_t202" style="position:absolute;margin-left:625.8pt;margin-top:-26.15pt;width:95.35pt;height:28.05pt;z-index:251653632;mso-position-horizontal-relative:text;mso-position-vertical-relative:text" stroked="f">
            <v:textbox style="mso-next-textbox:#_x0000_s1068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6</w:t>
                  </w:r>
                </w:p>
              </w:txbxContent>
            </v:textbox>
          </v:shape>
        </w:pict>
      </w:r>
    </w:p>
    <w:p w:rsidR="00B52CCB" w:rsidRDefault="00CD79F5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53500" cy="6486525"/>
            <wp:effectExtent l="0" t="0" r="0" b="0"/>
            <wp:docPr id="10" name="Рисунок 10" descr="Z:\ОТДЕЛ МОНИТОРИНГА И ОТЧЕТНОСТИ\!!!ОТЧЁТ 2021\огку 2021\март\для отчета\п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НИТОРИНГА И ОТЧЕТНОСТИ\!!!ОТЧЁТ 2021\огку 2021\март\для отчета\прод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069" type="#_x0000_t202" style="position:absolute;margin-left:614.85pt;margin-top:-26pt;width:94.45pt;height:25.25pt;z-index:251654656;mso-position-horizontal-relative:text;mso-position-vertical-relative:text" stroked="f">
            <v:textbox style="mso-next-textbox:#_x0000_s1069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>
                    <w:rPr>
                      <w:rFonts w:ascii="PT Astra Serif" w:hAnsi="PT Astra Serif"/>
                      <w:sz w:val="28"/>
                    </w:rPr>
                    <w:t>мма 7</w:t>
                  </w:r>
                </w:p>
              </w:txbxContent>
            </v:textbox>
          </v:shape>
        </w:pict>
      </w:r>
    </w:p>
    <w:p w:rsidR="00ED3AB7" w:rsidRDefault="00CD79F5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86825" cy="6496050"/>
            <wp:effectExtent l="0" t="0" r="0" b="0"/>
            <wp:docPr id="12" name="Рисунок 12" descr="Z:\ОТДЕЛ МОНИТОРИНГА И ОТЧЕТНОСТИ\!!!ОТЧЁТ 2021\огку 2021\март\для отчета\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МОНИТОРИНГА И ОТЧЕТНОСТИ\!!!ОТЧЁТ 2021\огку 2021\март\для отчета\стро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070" type="#_x0000_t202" style="position:absolute;margin-left:599.35pt;margin-top:-25.85pt;width:102.85pt;height:25.3pt;z-index:251655680;mso-position-horizontal-relative:text;mso-position-vertical-relative:text" stroked="f">
            <v:textbox style="mso-next-textbox:#_x0000_s1070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</w:p>
    <w:p w:rsidR="00D63609" w:rsidRDefault="00CD79F5" w:rsidP="00DE43F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04A6EE" wp14:editId="7B84B97F">
            <wp:extent cx="9466118" cy="5922819"/>
            <wp:effectExtent l="0" t="0" r="1905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  <w:r w:rsidR="00657FBF"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628.8pt;margin-top:-23.1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647DE8" w:rsidRPr="000842DB" w:rsidRDefault="00647DE8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иаграмма9</w:t>
                  </w:r>
                </w:p>
              </w:txbxContent>
            </v:textbox>
          </v:shape>
        </w:pict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CD79F5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67234D" wp14:editId="54C1FB31">
            <wp:extent cx="9631045" cy="5620279"/>
            <wp:effectExtent l="0" t="0" r="825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57FBF">
        <w:rPr>
          <w:noProof/>
          <w:lang w:eastAsia="ru-RU"/>
        </w:rPr>
        <w:pict>
          <v:shape id="_x0000_s1081" type="#_x0000_t202" style="position:absolute;margin-left:599.55pt;margin-top:-30.65pt;width:137.25pt;height:22.5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1">
              <w:txbxContent>
                <w:p w:rsidR="00647DE8" w:rsidRPr="00C55D97" w:rsidRDefault="00647DE8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shape>
        </w:pict>
      </w:r>
    </w:p>
    <w:p w:rsidR="00727248" w:rsidRPr="00727248" w:rsidRDefault="00657FBF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647DE8" w:rsidRPr="008B53EE" w:rsidRDefault="00647DE8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E8" w:rsidRDefault="00647DE8" w:rsidP="008952FF">
      <w:pPr>
        <w:spacing w:after="0" w:line="240" w:lineRule="auto"/>
      </w:pPr>
      <w:r>
        <w:separator/>
      </w:r>
    </w:p>
  </w:endnote>
  <w:end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E8" w:rsidRDefault="00647DE8" w:rsidP="008952FF">
      <w:pPr>
        <w:spacing w:after="0" w:line="240" w:lineRule="auto"/>
      </w:pPr>
      <w:r>
        <w:separator/>
      </w:r>
    </w:p>
  </w:footnote>
  <w:foot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E8" w:rsidRPr="00F64629" w:rsidRDefault="00647DE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657FBF">
      <w:rPr>
        <w:rFonts w:ascii="Times New Roman" w:hAnsi="Times New Roman"/>
        <w:noProof/>
        <w:sz w:val="28"/>
        <w:szCs w:val="28"/>
      </w:rPr>
      <w:t>17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7"/>
  </w:num>
  <w:num w:numId="5">
    <w:abstractNumId w:val="22"/>
  </w:num>
  <w:num w:numId="6">
    <w:abstractNumId w:val="21"/>
  </w:num>
  <w:num w:numId="7">
    <w:abstractNumId w:val="12"/>
  </w:num>
  <w:num w:numId="8">
    <w:abstractNumId w:val="4"/>
  </w:num>
  <w:num w:numId="9">
    <w:abstractNumId w:val="10"/>
  </w:num>
  <w:num w:numId="10">
    <w:abstractNumId w:val="19"/>
  </w:num>
  <w:num w:numId="11">
    <w:abstractNumId w:val="5"/>
  </w:num>
  <w:num w:numId="12">
    <w:abstractNumId w:val="3"/>
  </w:num>
  <w:num w:numId="13">
    <w:abstractNumId w:val="0"/>
  </w:num>
  <w:num w:numId="14">
    <w:abstractNumId w:val="28"/>
  </w:num>
  <w:num w:numId="15">
    <w:abstractNumId w:val="6"/>
  </w:num>
  <w:num w:numId="16">
    <w:abstractNumId w:val="25"/>
  </w:num>
  <w:num w:numId="17">
    <w:abstractNumId w:val="8"/>
  </w:num>
  <w:num w:numId="18">
    <w:abstractNumId w:val="18"/>
  </w:num>
  <w:num w:numId="19">
    <w:abstractNumId w:val="20"/>
  </w:num>
  <w:num w:numId="20">
    <w:abstractNumId w:val="2"/>
  </w:num>
  <w:num w:numId="21">
    <w:abstractNumId w:val="26"/>
  </w:num>
  <w:num w:numId="22">
    <w:abstractNumId w:val="27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  <w:num w:numId="27">
    <w:abstractNumId w:val="1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3CCE"/>
    <w:rsid w:val="00014AA7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19FE"/>
    <w:rsid w:val="000B31F5"/>
    <w:rsid w:val="000B4EE7"/>
    <w:rsid w:val="000B72B6"/>
    <w:rsid w:val="000B76FC"/>
    <w:rsid w:val="000C3B63"/>
    <w:rsid w:val="000C3C6A"/>
    <w:rsid w:val="000D2292"/>
    <w:rsid w:val="000D277A"/>
    <w:rsid w:val="000D40CD"/>
    <w:rsid w:val="000D7F3F"/>
    <w:rsid w:val="000E08FE"/>
    <w:rsid w:val="000E6746"/>
    <w:rsid w:val="000F0AD6"/>
    <w:rsid w:val="000F1080"/>
    <w:rsid w:val="000F2E9D"/>
    <w:rsid w:val="000F3F81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EB1"/>
    <w:rsid w:val="001630B0"/>
    <w:rsid w:val="00164CF2"/>
    <w:rsid w:val="00166664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62501"/>
    <w:rsid w:val="00264C27"/>
    <w:rsid w:val="00266187"/>
    <w:rsid w:val="002710F6"/>
    <w:rsid w:val="002721C8"/>
    <w:rsid w:val="002723FA"/>
    <w:rsid w:val="002834DD"/>
    <w:rsid w:val="0028362A"/>
    <w:rsid w:val="002A1E86"/>
    <w:rsid w:val="002A2D36"/>
    <w:rsid w:val="002A5A84"/>
    <w:rsid w:val="002B5673"/>
    <w:rsid w:val="002C0DB5"/>
    <w:rsid w:val="002C0F49"/>
    <w:rsid w:val="002C3B2B"/>
    <w:rsid w:val="002C4E3F"/>
    <w:rsid w:val="002D0AE4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035FA"/>
    <w:rsid w:val="00307844"/>
    <w:rsid w:val="00313804"/>
    <w:rsid w:val="00313E37"/>
    <w:rsid w:val="00315E00"/>
    <w:rsid w:val="003221D2"/>
    <w:rsid w:val="003225CF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6DFF"/>
    <w:rsid w:val="0036782A"/>
    <w:rsid w:val="003708AE"/>
    <w:rsid w:val="00371DB0"/>
    <w:rsid w:val="003722B8"/>
    <w:rsid w:val="00376EEE"/>
    <w:rsid w:val="0038157C"/>
    <w:rsid w:val="003860B4"/>
    <w:rsid w:val="00395057"/>
    <w:rsid w:val="003971B5"/>
    <w:rsid w:val="003A7BB7"/>
    <w:rsid w:val="003B2E21"/>
    <w:rsid w:val="003B41D2"/>
    <w:rsid w:val="003B6D48"/>
    <w:rsid w:val="003B7283"/>
    <w:rsid w:val="003C27BB"/>
    <w:rsid w:val="003C77D6"/>
    <w:rsid w:val="003D1747"/>
    <w:rsid w:val="003D5C8A"/>
    <w:rsid w:val="003E0B6D"/>
    <w:rsid w:val="003E44A5"/>
    <w:rsid w:val="003E468B"/>
    <w:rsid w:val="003E5D0D"/>
    <w:rsid w:val="003E630B"/>
    <w:rsid w:val="003E79DE"/>
    <w:rsid w:val="003F2A7F"/>
    <w:rsid w:val="003F30CD"/>
    <w:rsid w:val="003F3BFD"/>
    <w:rsid w:val="004007EA"/>
    <w:rsid w:val="0040106C"/>
    <w:rsid w:val="00404FE6"/>
    <w:rsid w:val="00407247"/>
    <w:rsid w:val="004105F7"/>
    <w:rsid w:val="004159E6"/>
    <w:rsid w:val="00421278"/>
    <w:rsid w:val="00422CFA"/>
    <w:rsid w:val="00423200"/>
    <w:rsid w:val="00424062"/>
    <w:rsid w:val="00431B01"/>
    <w:rsid w:val="00433037"/>
    <w:rsid w:val="00433442"/>
    <w:rsid w:val="0043570B"/>
    <w:rsid w:val="00441851"/>
    <w:rsid w:val="00441C62"/>
    <w:rsid w:val="00442A69"/>
    <w:rsid w:val="00443EBA"/>
    <w:rsid w:val="00452BC1"/>
    <w:rsid w:val="0046198A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3DFF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D7B14"/>
    <w:rsid w:val="004E1390"/>
    <w:rsid w:val="004E1A30"/>
    <w:rsid w:val="004E51A4"/>
    <w:rsid w:val="004E7E55"/>
    <w:rsid w:val="004F292F"/>
    <w:rsid w:val="004F3A0B"/>
    <w:rsid w:val="004F5F56"/>
    <w:rsid w:val="004F6A21"/>
    <w:rsid w:val="005001FE"/>
    <w:rsid w:val="0050112C"/>
    <w:rsid w:val="00503C02"/>
    <w:rsid w:val="005070A9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B6C"/>
    <w:rsid w:val="00597D99"/>
    <w:rsid w:val="005A07CE"/>
    <w:rsid w:val="005A5B68"/>
    <w:rsid w:val="005A661C"/>
    <w:rsid w:val="005A6882"/>
    <w:rsid w:val="005C0BD3"/>
    <w:rsid w:val="005D5EFF"/>
    <w:rsid w:val="005D6C8B"/>
    <w:rsid w:val="005E032E"/>
    <w:rsid w:val="005E7EDF"/>
    <w:rsid w:val="005F2D59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0613"/>
    <w:rsid w:val="0063105D"/>
    <w:rsid w:val="0063764D"/>
    <w:rsid w:val="00637B45"/>
    <w:rsid w:val="0064225D"/>
    <w:rsid w:val="00647DE8"/>
    <w:rsid w:val="00653F5E"/>
    <w:rsid w:val="00657FBF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D01B5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8707E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B664D"/>
    <w:rsid w:val="007C1C1C"/>
    <w:rsid w:val="007D2001"/>
    <w:rsid w:val="007D7599"/>
    <w:rsid w:val="007E430A"/>
    <w:rsid w:val="007F2B11"/>
    <w:rsid w:val="007F3C63"/>
    <w:rsid w:val="007F4548"/>
    <w:rsid w:val="007F4FC2"/>
    <w:rsid w:val="00802B91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3506F"/>
    <w:rsid w:val="0084632E"/>
    <w:rsid w:val="008516EF"/>
    <w:rsid w:val="00853844"/>
    <w:rsid w:val="00863C60"/>
    <w:rsid w:val="00864418"/>
    <w:rsid w:val="0086657D"/>
    <w:rsid w:val="0086763C"/>
    <w:rsid w:val="00881582"/>
    <w:rsid w:val="0088463E"/>
    <w:rsid w:val="008851F4"/>
    <w:rsid w:val="0088708A"/>
    <w:rsid w:val="00891001"/>
    <w:rsid w:val="00891846"/>
    <w:rsid w:val="00891A70"/>
    <w:rsid w:val="00894B67"/>
    <w:rsid w:val="008952FF"/>
    <w:rsid w:val="008A79A1"/>
    <w:rsid w:val="008B0BCA"/>
    <w:rsid w:val="008B1BF8"/>
    <w:rsid w:val="008B368C"/>
    <w:rsid w:val="008B53EE"/>
    <w:rsid w:val="008B6646"/>
    <w:rsid w:val="008D0A97"/>
    <w:rsid w:val="008D6674"/>
    <w:rsid w:val="008E1B30"/>
    <w:rsid w:val="008E773D"/>
    <w:rsid w:val="008F11B7"/>
    <w:rsid w:val="008F7283"/>
    <w:rsid w:val="009024DE"/>
    <w:rsid w:val="00910E5F"/>
    <w:rsid w:val="0092067E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2AE2"/>
    <w:rsid w:val="009D41B9"/>
    <w:rsid w:val="009D49FD"/>
    <w:rsid w:val="009E2405"/>
    <w:rsid w:val="009E2650"/>
    <w:rsid w:val="009F174A"/>
    <w:rsid w:val="009F47ED"/>
    <w:rsid w:val="00A06845"/>
    <w:rsid w:val="00A13D50"/>
    <w:rsid w:val="00A260D4"/>
    <w:rsid w:val="00A43FE7"/>
    <w:rsid w:val="00A4413E"/>
    <w:rsid w:val="00A4496B"/>
    <w:rsid w:val="00A57121"/>
    <w:rsid w:val="00A60EFB"/>
    <w:rsid w:val="00A67D78"/>
    <w:rsid w:val="00A67ED7"/>
    <w:rsid w:val="00A70A61"/>
    <w:rsid w:val="00A75AB0"/>
    <w:rsid w:val="00A80F0A"/>
    <w:rsid w:val="00A84C1B"/>
    <w:rsid w:val="00A85BDF"/>
    <w:rsid w:val="00A866E6"/>
    <w:rsid w:val="00A92FC3"/>
    <w:rsid w:val="00A95E27"/>
    <w:rsid w:val="00AA16E2"/>
    <w:rsid w:val="00AA433E"/>
    <w:rsid w:val="00AB25AF"/>
    <w:rsid w:val="00AB29CF"/>
    <w:rsid w:val="00AB659F"/>
    <w:rsid w:val="00AB6901"/>
    <w:rsid w:val="00AB74DE"/>
    <w:rsid w:val="00AC5B6A"/>
    <w:rsid w:val="00AC79C5"/>
    <w:rsid w:val="00AD17B7"/>
    <w:rsid w:val="00AD3339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4913"/>
    <w:rsid w:val="00B47A14"/>
    <w:rsid w:val="00B52CCB"/>
    <w:rsid w:val="00B60BA9"/>
    <w:rsid w:val="00B647F9"/>
    <w:rsid w:val="00B72A75"/>
    <w:rsid w:val="00B81C50"/>
    <w:rsid w:val="00B8482B"/>
    <w:rsid w:val="00B84918"/>
    <w:rsid w:val="00B872FA"/>
    <w:rsid w:val="00B905B1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C6937"/>
    <w:rsid w:val="00BD6A4D"/>
    <w:rsid w:val="00BD7F5C"/>
    <w:rsid w:val="00BE025F"/>
    <w:rsid w:val="00BE4689"/>
    <w:rsid w:val="00BE4A0A"/>
    <w:rsid w:val="00BE6763"/>
    <w:rsid w:val="00BE6E17"/>
    <w:rsid w:val="00BE7244"/>
    <w:rsid w:val="00BE73C8"/>
    <w:rsid w:val="00BE741D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1717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DA6"/>
    <w:rsid w:val="00C7464C"/>
    <w:rsid w:val="00C75281"/>
    <w:rsid w:val="00C762D3"/>
    <w:rsid w:val="00C76742"/>
    <w:rsid w:val="00C77FE5"/>
    <w:rsid w:val="00C860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D79F5"/>
    <w:rsid w:val="00CE110B"/>
    <w:rsid w:val="00CE5C33"/>
    <w:rsid w:val="00CE6820"/>
    <w:rsid w:val="00CE78AB"/>
    <w:rsid w:val="00CE7F6F"/>
    <w:rsid w:val="00CF67CA"/>
    <w:rsid w:val="00D02B38"/>
    <w:rsid w:val="00D0333E"/>
    <w:rsid w:val="00D04553"/>
    <w:rsid w:val="00D06D30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2FC5"/>
    <w:rsid w:val="00D54FDB"/>
    <w:rsid w:val="00D56140"/>
    <w:rsid w:val="00D6359F"/>
    <w:rsid w:val="00D63609"/>
    <w:rsid w:val="00D64206"/>
    <w:rsid w:val="00D64C2C"/>
    <w:rsid w:val="00D65408"/>
    <w:rsid w:val="00D67207"/>
    <w:rsid w:val="00D71935"/>
    <w:rsid w:val="00D75E00"/>
    <w:rsid w:val="00D80BD7"/>
    <w:rsid w:val="00D81F87"/>
    <w:rsid w:val="00D92012"/>
    <w:rsid w:val="00D92D81"/>
    <w:rsid w:val="00D94869"/>
    <w:rsid w:val="00DA3264"/>
    <w:rsid w:val="00DB0D26"/>
    <w:rsid w:val="00DB2713"/>
    <w:rsid w:val="00DD1CD4"/>
    <w:rsid w:val="00DD2590"/>
    <w:rsid w:val="00DD3497"/>
    <w:rsid w:val="00DD52EC"/>
    <w:rsid w:val="00DE10C1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61395"/>
    <w:rsid w:val="00E7346B"/>
    <w:rsid w:val="00E73CB7"/>
    <w:rsid w:val="00E8483D"/>
    <w:rsid w:val="00E84D97"/>
    <w:rsid w:val="00E84DFA"/>
    <w:rsid w:val="00E91328"/>
    <w:rsid w:val="00E9395F"/>
    <w:rsid w:val="00E97DEA"/>
    <w:rsid w:val="00EA0A08"/>
    <w:rsid w:val="00EA28DB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F2C"/>
    <w:rsid w:val="00F054A2"/>
    <w:rsid w:val="00F1231A"/>
    <w:rsid w:val="00F13EE9"/>
    <w:rsid w:val="00F27E21"/>
    <w:rsid w:val="00F30080"/>
    <w:rsid w:val="00F3058D"/>
    <w:rsid w:val="00F339CD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4A2A"/>
    <w:rsid w:val="00FA6366"/>
    <w:rsid w:val="00FB138C"/>
    <w:rsid w:val="00FB3DD7"/>
    <w:rsid w:val="00FB6CE1"/>
    <w:rsid w:val="00FC15E7"/>
    <w:rsid w:val="00FC2EE9"/>
    <w:rsid w:val="00FD0700"/>
    <w:rsid w:val="00FD20C3"/>
    <w:rsid w:val="00FD34B4"/>
    <w:rsid w:val="00FE0D13"/>
    <w:rsid w:val="00FE41AF"/>
    <w:rsid w:val="00FF0C2A"/>
    <w:rsid w:val="00FF1AB9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84;&#1072;&#1088;&#1090;%202021\&#1084;&#1072;&#1088;&#1090;\&#1086;&#1090;&#1095;&#1077;&#1090;%20&#1088;&#1072;&#1073;&#1086;&#1095;&#1080;&#1081;%20&#1084;&#1072;&#1088;&#1090;%202021%20&#1089;%20&#1075;&#1088;&#1072;&#1092;&#1080;&#1082;&#1072;&#1084;&#1080;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1\&#1084;&#1072;&#1088;&#1090;\+&#1055;&#1088;&#1086;&#1094;&#1077;&#1076;&#1091;&#1088;&#1099;%20&#1084;&#1072;&#1088;&#1090;%20202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52;&#1072;&#1088;&#1090;%202021\&#1052;&#1091;&#1085;&#1080;&#1094;&#1080;&#1087;&#1072;&#1083;&#1099;\&#1054;&#1058;&#1063;&#1025;&#1058;%20&#1052;&#1059;&#1053;&#1048;&#1062;&#1048;&#1055;&#1040;&#1051;&#1067;%20&#1052;&#1072;&#1088;&#1090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1\&#1084;&#1072;&#1088;&#1090;\+&#1057;&#1052;&#1055;%20&#1084;&#1072;&#1088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конкурентных закупок (через Уполномоченный орган) </a:t>
            </a:r>
          </a:p>
          <a:p>
            <a:pPr>
              <a:defRPr b="1"/>
            </a:pPr>
            <a:r>
              <a:rPr lang="ru-RU" b="1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Графики!$D$37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Минтранс</c:v>
                </c:pt>
                <c:pt idx="1">
                  <c:v>Минздрав</c:v>
                </c:pt>
                <c:pt idx="2">
                  <c:v>Минстрой</c:v>
                </c:pt>
                <c:pt idx="3">
                  <c:v>Правительство</c:v>
                </c:pt>
                <c:pt idx="4">
                  <c:v>Минпросв</c:v>
                </c:pt>
                <c:pt idx="5">
                  <c:v>Минсоц</c:v>
                </c:pt>
                <c:pt idx="6">
                  <c:v>МинЖКХ</c:v>
                </c:pt>
                <c:pt idx="7">
                  <c:v>Минфин</c:v>
                </c:pt>
                <c:pt idx="8">
                  <c:v>Прочие</c:v>
                </c:pt>
                <c:pt idx="9">
                  <c:v>Микульт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Графики!$D$38:$D$50</c:f>
              <c:numCache>
                <c:formatCode>0</c:formatCode>
                <c:ptCount val="13"/>
                <c:pt idx="0">
                  <c:v>5197.8114038900003</c:v>
                </c:pt>
                <c:pt idx="1">
                  <c:v>2813.5607971099998</c:v>
                </c:pt>
                <c:pt idx="2">
                  <c:v>1394.41873816</c:v>
                </c:pt>
                <c:pt idx="3">
                  <c:v>140.78018861000001</c:v>
                </c:pt>
                <c:pt idx="4">
                  <c:v>74.876484390000002</c:v>
                </c:pt>
                <c:pt idx="5">
                  <c:v>67.640762479999992</c:v>
                </c:pt>
                <c:pt idx="6">
                  <c:v>63.186777929999998</c:v>
                </c:pt>
                <c:pt idx="7">
                  <c:v>47.835514439999997</c:v>
                </c:pt>
                <c:pt idx="8">
                  <c:v>44.814410710000004</c:v>
                </c:pt>
                <c:pt idx="9">
                  <c:v>40.42345581</c:v>
                </c:pt>
                <c:pt idx="10">
                  <c:v>22.40769809</c:v>
                </c:pt>
                <c:pt idx="11">
                  <c:v>0.98694000000000004</c:v>
                </c:pt>
                <c:pt idx="12">
                  <c:v>0.93852955000000005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8479616"/>
        <c:axId val="88481152"/>
      </c:barChart>
      <c:lineChart>
        <c:grouping val="standard"/>
        <c:varyColors val="0"/>
        <c:ser>
          <c:idx val="1"/>
          <c:order val="1"/>
          <c:tx>
            <c:strRef>
              <c:f>Графики!$E$37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169184290030225E-2"/>
                  <c:y val="3.322259136212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47184170471841E-2"/>
                  <c:y val="-3.9532562762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288764131069718E-2"/>
                  <c:y val="-3.5541022488468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569500942291578E-2"/>
                  <c:y val="-3.552567556962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852849209558727E-2"/>
                  <c:y val="2.956828070909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826451829473026E-2"/>
                  <c:y val="-3.322259136212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4899096827398086E-3"/>
                  <c:y val="-2.6282470505140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7522500019823805E-4"/>
                  <c:y val="-8.6598477515891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1266661908953224E-2"/>
                  <c:y val="-2.812113602078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7780473815395434E-2"/>
                  <c:y val="2.9280351583958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450626828746103E-2"/>
                  <c:y val="2.69695939170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4169184290030211E-2"/>
                  <c:y val="-2.879291251384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826451829472977E-2"/>
                  <c:y val="3.3222591362126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Минтранс</c:v>
                </c:pt>
                <c:pt idx="1">
                  <c:v>Минздрав</c:v>
                </c:pt>
                <c:pt idx="2">
                  <c:v>Минстрой</c:v>
                </c:pt>
                <c:pt idx="3">
                  <c:v>Правительство</c:v>
                </c:pt>
                <c:pt idx="4">
                  <c:v>Минпросв</c:v>
                </c:pt>
                <c:pt idx="5">
                  <c:v>Минсоц</c:v>
                </c:pt>
                <c:pt idx="6">
                  <c:v>МинЖКХ</c:v>
                </c:pt>
                <c:pt idx="7">
                  <c:v>Минфин</c:v>
                </c:pt>
                <c:pt idx="8">
                  <c:v>Прочие</c:v>
                </c:pt>
                <c:pt idx="9">
                  <c:v>Микульт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Графики!$E$38:$E$50</c:f>
              <c:numCache>
                <c:formatCode>0.00</c:formatCode>
                <c:ptCount val="13"/>
                <c:pt idx="0">
                  <c:v>2.9855072463768115</c:v>
                </c:pt>
                <c:pt idx="1">
                  <c:v>2.6369047619047619</c:v>
                </c:pt>
                <c:pt idx="2">
                  <c:v>2.7560975609756095</c:v>
                </c:pt>
                <c:pt idx="3">
                  <c:v>3.55</c:v>
                </c:pt>
                <c:pt idx="4">
                  <c:v>2.6065573770491803</c:v>
                </c:pt>
                <c:pt idx="5">
                  <c:v>4.3275862068965516</c:v>
                </c:pt>
                <c:pt idx="6">
                  <c:v>3.7692307692307692</c:v>
                </c:pt>
                <c:pt idx="7">
                  <c:v>0.77777777777777779</c:v>
                </c:pt>
                <c:pt idx="8">
                  <c:v>5.5862068965517242</c:v>
                </c:pt>
                <c:pt idx="9">
                  <c:v>2.838709677419355</c:v>
                </c:pt>
                <c:pt idx="10">
                  <c:v>1.75</c:v>
                </c:pt>
                <c:pt idx="11">
                  <c:v>7</c:v>
                </c:pt>
                <c:pt idx="12">
                  <c:v>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507520"/>
        <c:axId val="88509056"/>
      </c:lineChart>
      <c:catAx>
        <c:axId val="884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88481152"/>
        <c:crosses val="autoZero"/>
        <c:auto val="1"/>
        <c:lblAlgn val="ctr"/>
        <c:lblOffset val="100"/>
        <c:noMultiLvlLbl val="0"/>
      </c:catAx>
      <c:valAx>
        <c:axId val="8848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479616"/>
        <c:crosses val="autoZero"/>
        <c:crossBetween val="between"/>
      </c:valAx>
      <c:catAx>
        <c:axId val="88507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8509056"/>
        <c:crosses val="autoZero"/>
        <c:auto val="1"/>
        <c:lblAlgn val="ctr"/>
        <c:lblOffset val="100"/>
        <c:noMultiLvlLbl val="0"/>
      </c:catAx>
      <c:valAx>
        <c:axId val="8850905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50752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Графики!$D$63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Правительство</c:v>
                </c:pt>
                <c:pt idx="6">
                  <c:v>Минтранс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Микульт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Графики!$D$64:$D$76</c:f>
              <c:numCache>
                <c:formatCode>#,##0</c:formatCode>
                <c:ptCount val="13"/>
                <c:pt idx="0">
                  <c:v>454.75433831999999</c:v>
                </c:pt>
                <c:pt idx="1">
                  <c:v>115.17609016</c:v>
                </c:pt>
                <c:pt idx="2">
                  <c:v>15.144101959999999</c:v>
                </c:pt>
                <c:pt idx="3">
                  <c:v>8.0120898399999998</c:v>
                </c:pt>
                <c:pt idx="4">
                  <c:v>6.753283119999999</c:v>
                </c:pt>
                <c:pt idx="5">
                  <c:v>6.0589378499999995</c:v>
                </c:pt>
                <c:pt idx="6">
                  <c:v>0.47976000000000002</c:v>
                </c:pt>
                <c:pt idx="7">
                  <c:v>0.27056659999999999</c:v>
                </c:pt>
                <c:pt idx="8">
                  <c:v>0.1531902</c:v>
                </c:pt>
                <c:pt idx="9">
                  <c:v>0.12541114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0077056"/>
        <c:axId val="90078592"/>
      </c:barChart>
      <c:lineChart>
        <c:grouping val="standard"/>
        <c:varyColors val="0"/>
        <c:ser>
          <c:idx val="1"/>
          <c:order val="1"/>
          <c:tx>
            <c:strRef>
              <c:f>Графики!$E$63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0855057351407715E-2"/>
                  <c:y val="3.6832412523020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616814141366584E-2"/>
                  <c:y val="-3.7848806143065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617391804126676E-2"/>
                  <c:y val="4.0726400912593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711614515338866E-3"/>
                  <c:y val="2.642749766776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130426214971304E-2"/>
                  <c:y val="-3.1917170574672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322051896797521E-2"/>
                  <c:y val="-3.6972781717202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1977754605491834E-2"/>
                  <c:y val="3.92879066912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855057351407715E-2"/>
                  <c:y val="3.437691835481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635731664928744E-2"/>
                  <c:y val="-3.437691835481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1710114702816449E-3"/>
                  <c:y val="-1.473296500920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Правительство</c:v>
                </c:pt>
                <c:pt idx="6">
                  <c:v>Минтранс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Микульт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Графики!$E$64:$E$76</c:f>
              <c:numCache>
                <c:formatCode>#,##0.00</c:formatCode>
                <c:ptCount val="13"/>
                <c:pt idx="0">
                  <c:v>2</c:v>
                </c:pt>
                <c:pt idx="1">
                  <c:v>2.7025423728813558</c:v>
                </c:pt>
                <c:pt idx="2">
                  <c:v>2.6712962962962963</c:v>
                </c:pt>
                <c:pt idx="3">
                  <c:v>2.9545454545454546</c:v>
                </c:pt>
                <c:pt idx="4">
                  <c:v>4.1084337349397586</c:v>
                </c:pt>
                <c:pt idx="5">
                  <c:v>3.9295774647887325</c:v>
                </c:pt>
                <c:pt idx="6">
                  <c:v>1.5</c:v>
                </c:pt>
                <c:pt idx="7">
                  <c:v>1</c:v>
                </c:pt>
                <c:pt idx="8">
                  <c:v>2</c:v>
                </c:pt>
                <c:pt idx="9">
                  <c:v>1.5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92672"/>
        <c:axId val="90094208"/>
      </c:lineChart>
      <c:catAx>
        <c:axId val="900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90078592"/>
        <c:crosses val="autoZero"/>
        <c:auto val="1"/>
        <c:lblAlgn val="ctr"/>
        <c:lblOffset val="100"/>
        <c:noMultiLvlLbl val="0"/>
      </c:catAx>
      <c:valAx>
        <c:axId val="9007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0077056"/>
        <c:crosses val="autoZero"/>
        <c:crossBetween val="between"/>
      </c:valAx>
      <c:catAx>
        <c:axId val="9009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0094208"/>
        <c:crosses val="autoZero"/>
        <c:auto val="1"/>
        <c:lblAlgn val="ctr"/>
        <c:lblOffset val="100"/>
        <c:noMultiLvlLbl val="0"/>
      </c:catAx>
      <c:valAx>
        <c:axId val="90094208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009267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Минпросвещения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Минкульт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Минстрой</c:v>
                </c:pt>
                <c:pt idx="12">
                  <c:v>Минтранс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63.22</c:v>
                </c:pt>
                <c:pt idx="3">
                  <c:v>60.21</c:v>
                </c:pt>
                <c:pt idx="4">
                  <c:v>54.54</c:v>
                </c:pt>
                <c:pt idx="5">
                  <c:v>54.5</c:v>
                </c:pt>
                <c:pt idx="6">
                  <c:v>49.5</c:v>
                </c:pt>
                <c:pt idx="7">
                  <c:v>31.79</c:v>
                </c:pt>
                <c:pt idx="8">
                  <c:v>29.35</c:v>
                </c:pt>
                <c:pt idx="9">
                  <c:v>18.89</c:v>
                </c:pt>
                <c:pt idx="10">
                  <c:v>11.2</c:v>
                </c:pt>
                <c:pt idx="11">
                  <c:v>5.35</c:v>
                </c:pt>
                <c:pt idx="12">
                  <c:v>2.33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547584"/>
        <c:axId val="98549120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Минпросвещения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Минкульт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Минстрой</c:v>
                </c:pt>
                <c:pt idx="12">
                  <c:v>Минтранс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56544"/>
        <c:axId val="98555008"/>
      </c:lineChart>
      <c:catAx>
        <c:axId val="9854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8549120"/>
        <c:crosses val="autoZero"/>
        <c:auto val="1"/>
        <c:lblAlgn val="ctr"/>
        <c:lblOffset val="100"/>
        <c:noMultiLvlLbl val="0"/>
      </c:catAx>
      <c:valAx>
        <c:axId val="9854912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8547584"/>
        <c:crosses val="autoZero"/>
        <c:crossBetween val="between"/>
        <c:majorUnit val="15"/>
      </c:valAx>
      <c:valAx>
        <c:axId val="98555008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98556544"/>
        <c:crosses val="max"/>
        <c:crossBetween val="between"/>
        <c:majorUnit val="15"/>
        <c:minorUnit val="3"/>
      </c:valAx>
      <c:catAx>
        <c:axId val="9855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8555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Показатели по количеству извещений </a:t>
            </a:r>
          </a:p>
          <a:p>
            <a:pPr>
              <a:defRPr/>
            </a:pPr>
            <a:r>
              <a:rPr lang="ru-RU"/>
              <a:t>и среднему количеству участников </a:t>
            </a:r>
          </a:p>
          <a:p>
            <a:pPr>
              <a:defRPr/>
            </a:pPr>
            <a:r>
              <a:rPr lang="ru-RU"/>
              <a:t>Министерство здравоохранения Ульяновской области</a:t>
            </a:r>
          </a:p>
        </c:rich>
      </c:tx>
      <c:layout>
        <c:manualLayout>
          <c:xMode val="edge"/>
          <c:yMode val="edge"/>
          <c:x val="0.25377760040504976"/>
          <c:y val="1.46136606946753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Графики!$C$169</c:f>
              <c:strCache>
                <c:ptCount val="1"/>
                <c:pt idx="0">
                  <c:v>Состоявшиеся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 w="15875">
              <a:solidFill>
                <a:srgbClr val="080808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Графики!$D$169:$G$169</c:f>
              <c:numCache>
                <c:formatCode>0</c:formatCode>
                <c:ptCount val="4"/>
                <c:pt idx="0">
                  <c:v>162</c:v>
                </c:pt>
                <c:pt idx="1">
                  <c:v>183</c:v>
                </c:pt>
                <c:pt idx="2">
                  <c:v>408</c:v>
                </c:pt>
                <c:pt idx="3">
                  <c:v>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6F-4396-B147-7D4FB609BA2F}"/>
            </c:ext>
          </c:extLst>
        </c:ser>
        <c:ser>
          <c:idx val="1"/>
          <c:order val="1"/>
          <c:tx>
            <c:strRef>
              <c:f>Графики!$C$170</c:f>
              <c:strCache>
                <c:ptCount val="1"/>
                <c:pt idx="0">
                  <c:v>Не состоявшиеся (1 заявка)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80808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Графики!$D$170:$G$170</c:f>
              <c:numCache>
                <c:formatCode>0</c:formatCode>
                <c:ptCount val="4"/>
                <c:pt idx="0">
                  <c:v>97</c:v>
                </c:pt>
                <c:pt idx="1">
                  <c:v>86</c:v>
                </c:pt>
                <c:pt idx="2">
                  <c:v>189</c:v>
                </c:pt>
                <c:pt idx="3">
                  <c:v>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6F-4396-B147-7D4FB609BA2F}"/>
            </c:ext>
          </c:extLst>
        </c:ser>
        <c:ser>
          <c:idx val="2"/>
          <c:order val="2"/>
          <c:tx>
            <c:strRef>
              <c:f>Графики!$C$171</c:f>
              <c:strCache>
                <c:ptCount val="1"/>
                <c:pt idx="0">
                  <c:v>Не состоявшиеся (0 заявок)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rgbClr val="080808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2231709020163084E-3"/>
                  <c:y val="-2.19417119286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46341804032619E-3"/>
                  <c:y val="-1.8284759940538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695127060489266E-3"/>
                  <c:y val="-2.1941711928646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Графики!$D$171:$G$171</c:f>
              <c:numCache>
                <c:formatCode>0</c:formatCode>
                <c:ptCount val="4"/>
                <c:pt idx="0">
                  <c:v>22</c:v>
                </c:pt>
                <c:pt idx="1">
                  <c:v>14</c:v>
                </c:pt>
                <c:pt idx="2">
                  <c:v>23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6F-4396-B147-7D4FB609B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176832"/>
        <c:axId val="101178368"/>
      </c:barChart>
      <c:lineChart>
        <c:grouping val="standard"/>
        <c:varyColors val="0"/>
        <c:ser>
          <c:idx val="3"/>
          <c:order val="3"/>
          <c:tx>
            <c:strRef>
              <c:f>Графики!$C$172</c:f>
              <c:strCache>
                <c:ptCount val="1"/>
                <c:pt idx="0">
                  <c:v>Индикатор</c:v>
                </c:pt>
              </c:strCache>
            </c:strRef>
          </c:tx>
          <c:spPr>
            <a:ln w="28575" cap="rnd">
              <a:solidFill>
                <a:srgbClr val="08080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854111545915891E-2"/>
                  <c:y val="3.289975687712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860698007436129E-2"/>
                  <c:y val="-3.108256719306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184640652312826E-2"/>
                  <c:y val="-3.29125944684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28964337204329E-2"/>
                  <c:y val="5.392843482504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A5-441D-B17D-E5E25AAC0A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Графики!$D$172:$G$172</c:f>
              <c:numCache>
                <c:formatCode>0.00</c:formatCode>
                <c:ptCount val="4"/>
                <c:pt idx="0">
                  <c:v>2.1921708185053381</c:v>
                </c:pt>
                <c:pt idx="1">
                  <c:v>2.7385159010600706</c:v>
                </c:pt>
                <c:pt idx="2">
                  <c:v>2.9306451612903226</c:v>
                </c:pt>
                <c:pt idx="3">
                  <c:v>2.6475903614457832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66F-4396-B147-7D4FB609B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06272"/>
        <c:axId val="101204736"/>
      </c:lineChart>
      <c:catAx>
        <c:axId val="10117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1178368"/>
        <c:crosses val="autoZero"/>
        <c:auto val="1"/>
        <c:lblAlgn val="ctr"/>
        <c:lblOffset val="100"/>
        <c:noMultiLvlLbl val="0"/>
      </c:catAx>
      <c:valAx>
        <c:axId val="1011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1176832"/>
        <c:crosses val="autoZero"/>
        <c:crossBetween val="between"/>
      </c:valAx>
      <c:valAx>
        <c:axId val="10120473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1206272"/>
        <c:crosses val="max"/>
        <c:crossBetween val="between"/>
      </c:valAx>
      <c:catAx>
        <c:axId val="101206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1204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080808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муниципальных образований Ульяновской области </a:t>
            </a:r>
          </a:p>
          <a:p>
            <a:pPr>
              <a:defRPr b="1"/>
            </a:pPr>
            <a:r>
              <a:rPr lang="ru-RU" b="1"/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Чердаклинский район</c:v>
                </c:pt>
                <c:pt idx="2">
                  <c:v>Димитровград </c:v>
                </c:pt>
                <c:pt idx="3">
                  <c:v>Карсунский район</c:v>
                </c:pt>
                <c:pt idx="4">
                  <c:v>Мелекесский район</c:v>
                </c:pt>
                <c:pt idx="5">
                  <c:v>Барышский район</c:v>
                </c:pt>
                <c:pt idx="6">
                  <c:v>Старомайнский район</c:v>
                </c:pt>
                <c:pt idx="7">
                  <c:v>Сурский район</c:v>
                </c:pt>
                <c:pt idx="8">
                  <c:v>Сенгилеевский район</c:v>
                </c:pt>
                <c:pt idx="9">
                  <c:v>Ульяновский район</c:v>
                </c:pt>
                <c:pt idx="10">
                  <c:v>Майнский район</c:v>
                </c:pt>
                <c:pt idx="11">
                  <c:v>Инзенский район</c:v>
                </c:pt>
                <c:pt idx="12">
                  <c:v>Новоульяновск </c:v>
                </c:pt>
                <c:pt idx="13">
                  <c:v>Цильнинский район</c:v>
                </c:pt>
                <c:pt idx="14">
                  <c:v>Новоспасский район</c:v>
                </c:pt>
                <c:pt idx="15">
                  <c:v>Кузоватовский район </c:v>
                </c:pt>
                <c:pt idx="16">
                  <c:v>Николаевский район </c:v>
                </c:pt>
                <c:pt idx="17">
                  <c:v>Вешкаймский район </c:v>
                </c:pt>
                <c:pt idx="18">
                  <c:v>Новомалыклинский район</c:v>
                </c:pt>
                <c:pt idx="19">
                  <c:v>Радищевский район</c:v>
                </c:pt>
                <c:pt idx="20">
                  <c:v>Павловский район</c:v>
                </c:pt>
                <c:pt idx="21">
                  <c:v>Тереньгульский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1118.8612889999999</c:v>
                </c:pt>
                <c:pt idx="1">
                  <c:v>256.20673999999997</c:v>
                </c:pt>
                <c:pt idx="2">
                  <c:v>245.8663</c:v>
                </c:pt>
                <c:pt idx="3">
                  <c:v>214.47824</c:v>
                </c:pt>
                <c:pt idx="4">
                  <c:v>177.46696</c:v>
                </c:pt>
                <c:pt idx="5">
                  <c:v>151.78927999999999</c:v>
                </c:pt>
                <c:pt idx="6">
                  <c:v>145.37621200000001</c:v>
                </c:pt>
                <c:pt idx="7">
                  <c:v>132.54326</c:v>
                </c:pt>
                <c:pt idx="8">
                  <c:v>123.50405999999998</c:v>
                </c:pt>
                <c:pt idx="9">
                  <c:v>115.67992000000001</c:v>
                </c:pt>
                <c:pt idx="10">
                  <c:v>114.92138999999999</c:v>
                </c:pt>
                <c:pt idx="11">
                  <c:v>105.7555478</c:v>
                </c:pt>
                <c:pt idx="12">
                  <c:v>105.73523000000002</c:v>
                </c:pt>
                <c:pt idx="13">
                  <c:v>99.092421520000002</c:v>
                </c:pt>
                <c:pt idx="14">
                  <c:v>83.07298999999999</c:v>
                </c:pt>
                <c:pt idx="15">
                  <c:v>80.417529999999999</c:v>
                </c:pt>
                <c:pt idx="16">
                  <c:v>77.773780000000002</c:v>
                </c:pt>
                <c:pt idx="17">
                  <c:v>71.626935000000003</c:v>
                </c:pt>
                <c:pt idx="18">
                  <c:v>70.400379999999998</c:v>
                </c:pt>
                <c:pt idx="19">
                  <c:v>69.633750000000006</c:v>
                </c:pt>
                <c:pt idx="20">
                  <c:v>47.354599999999998</c:v>
                </c:pt>
                <c:pt idx="21">
                  <c:v>39.633990000000004</c:v>
                </c:pt>
                <c:pt idx="22">
                  <c:v>38.523809999999997</c:v>
                </c:pt>
                <c:pt idx="23">
                  <c:v>26.387989999999999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1255040"/>
        <c:axId val="101256576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410700423010505E-2"/>
                  <c:y val="2.4527770041606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958141527338264E-2"/>
                  <c:y val="-2.7830302170736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896713615023476E-3"/>
                  <c:y val="-3.6441586280814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591712337422925E-17"/>
                  <c:y val="6.4308681672025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15795176016189E-2"/>
                  <c:y val="-2.358674138108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905839234884372E-3"/>
                  <c:y val="-2.7376087635347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900067069081154E-2"/>
                  <c:y val="1.9292604501607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4527353240261741E-3"/>
                  <c:y val="-1.9390935296182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8014860818453982E-2"/>
                  <c:y val="-3.257715775881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6426960714417741E-2"/>
                  <c:y val="2.5174739009713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4148565936300215E-2"/>
                  <c:y val="-2.573478154458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9.9665710800234484E-3"/>
                  <c:y val="-2.4070857702272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0124405801829219E-2"/>
                  <c:y val="2.7875239814014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413816230717639E-3"/>
                  <c:y val="1.9292604501607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2928089423774351E-2"/>
                  <c:y val="-3.1662794355187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1016122984626923E-3"/>
                  <c:y val="-2.7376087635347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0485009796310672E-2"/>
                  <c:y val="2.8358103147074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6010445877364909E-3"/>
                  <c:y val="2.5616629111071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3397233796479664E-4"/>
                  <c:y val="6.4649635837320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0151037458345875E-2"/>
                  <c:y val="-2.9519710357748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0090411233807042E-2"/>
                  <c:y val="2.6812331738275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0272501148624028E-2"/>
                  <c:y val="-3.3806955802550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6096579476861168E-2"/>
                  <c:y val="2.572347266881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Чердаклинский район</c:v>
                </c:pt>
                <c:pt idx="2">
                  <c:v>Димитровград </c:v>
                </c:pt>
                <c:pt idx="3">
                  <c:v>Карсунский район</c:v>
                </c:pt>
                <c:pt idx="4">
                  <c:v>Мелекесский район</c:v>
                </c:pt>
                <c:pt idx="5">
                  <c:v>Барышский район</c:v>
                </c:pt>
                <c:pt idx="6">
                  <c:v>Старомайнский район</c:v>
                </c:pt>
                <c:pt idx="7">
                  <c:v>Сурский район</c:v>
                </c:pt>
                <c:pt idx="8">
                  <c:v>Сенгилеевский район</c:v>
                </c:pt>
                <c:pt idx="9">
                  <c:v>Ульяновский район</c:v>
                </c:pt>
                <c:pt idx="10">
                  <c:v>Майнский район</c:v>
                </c:pt>
                <c:pt idx="11">
                  <c:v>Инзенский район</c:v>
                </c:pt>
                <c:pt idx="12">
                  <c:v>Новоульяновск </c:v>
                </c:pt>
                <c:pt idx="13">
                  <c:v>Цильнинский район</c:v>
                </c:pt>
                <c:pt idx="14">
                  <c:v>Новоспасский район</c:v>
                </c:pt>
                <c:pt idx="15">
                  <c:v>Кузоватовский район </c:v>
                </c:pt>
                <c:pt idx="16">
                  <c:v>Николаевский район </c:v>
                </c:pt>
                <c:pt idx="17">
                  <c:v>Вешкаймский район </c:v>
                </c:pt>
                <c:pt idx="18">
                  <c:v>Новомалыклинский район</c:v>
                </c:pt>
                <c:pt idx="19">
                  <c:v>Радищевский район</c:v>
                </c:pt>
                <c:pt idx="20">
                  <c:v>Павловский район</c:v>
                </c:pt>
                <c:pt idx="21">
                  <c:v>Тереньгульский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4.333333333333333</c:v>
                </c:pt>
                <c:pt idx="1">
                  <c:v>7.5810810810810807</c:v>
                </c:pt>
                <c:pt idx="2">
                  <c:v>3.904494382022472</c:v>
                </c:pt>
                <c:pt idx="3">
                  <c:v>4.1481481481481479</c:v>
                </c:pt>
                <c:pt idx="4">
                  <c:v>6.7</c:v>
                </c:pt>
                <c:pt idx="5">
                  <c:v>6.3478260869565215</c:v>
                </c:pt>
                <c:pt idx="6">
                  <c:v>4.5584415584415581</c:v>
                </c:pt>
                <c:pt idx="7">
                  <c:v>2.46</c:v>
                </c:pt>
                <c:pt idx="8">
                  <c:v>8.6969696969696972</c:v>
                </c:pt>
                <c:pt idx="9">
                  <c:v>4.0666666666666664</c:v>
                </c:pt>
                <c:pt idx="10">
                  <c:v>7.3684210526315788</c:v>
                </c:pt>
                <c:pt idx="11">
                  <c:v>6.8181818181818183</c:v>
                </c:pt>
                <c:pt idx="12">
                  <c:v>4.25</c:v>
                </c:pt>
                <c:pt idx="13">
                  <c:v>5.3809523809523814</c:v>
                </c:pt>
                <c:pt idx="14">
                  <c:v>7.7333333333333334</c:v>
                </c:pt>
                <c:pt idx="15">
                  <c:v>5.3913043478260869</c:v>
                </c:pt>
                <c:pt idx="16">
                  <c:v>4.0212765957446805</c:v>
                </c:pt>
                <c:pt idx="17">
                  <c:v>4.2142857142857144</c:v>
                </c:pt>
                <c:pt idx="18">
                  <c:v>5.333333333333333</c:v>
                </c:pt>
                <c:pt idx="19">
                  <c:v>11.666666666666666</c:v>
                </c:pt>
                <c:pt idx="20">
                  <c:v>4.4838709677419351</c:v>
                </c:pt>
                <c:pt idx="21">
                  <c:v>5.7777777777777777</c:v>
                </c:pt>
                <c:pt idx="22">
                  <c:v>11.727272727272727</c:v>
                </c:pt>
                <c:pt idx="23">
                  <c:v>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87040"/>
        <c:axId val="101288576"/>
      </c:lineChart>
      <c:catAx>
        <c:axId val="10125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101256576"/>
        <c:crosses val="autoZero"/>
        <c:auto val="1"/>
        <c:lblAlgn val="ctr"/>
        <c:lblOffset val="100"/>
        <c:noMultiLvlLbl val="0"/>
      </c:catAx>
      <c:valAx>
        <c:axId val="10125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1255040"/>
        <c:crosses val="autoZero"/>
        <c:crossBetween val="between"/>
      </c:valAx>
      <c:catAx>
        <c:axId val="101287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288576"/>
        <c:crosses val="autoZero"/>
        <c:auto val="1"/>
        <c:lblAlgn val="ctr"/>
        <c:lblOffset val="100"/>
        <c:noMultiLvlLbl val="0"/>
      </c:catAx>
      <c:valAx>
        <c:axId val="10128857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128704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Радищевский район</c:v>
                </c:pt>
                <c:pt idx="1">
                  <c:v>Старокулаткинский район</c:v>
                </c:pt>
                <c:pt idx="2">
                  <c:v>Кузоватовский район </c:v>
                </c:pt>
                <c:pt idx="3">
                  <c:v>Димитровград </c:v>
                </c:pt>
                <c:pt idx="4">
                  <c:v>Инзенский район</c:v>
                </c:pt>
                <c:pt idx="5">
                  <c:v>Базарносызганский район</c:v>
                </c:pt>
                <c:pt idx="6">
                  <c:v>Павловский район</c:v>
                </c:pt>
                <c:pt idx="7">
                  <c:v>Цильнинский район</c:v>
                </c:pt>
                <c:pt idx="8">
                  <c:v>Мелекесский район</c:v>
                </c:pt>
                <c:pt idx="9">
                  <c:v>Сенгилеевский район</c:v>
                </c:pt>
                <c:pt idx="10">
                  <c:v>Николаевский район </c:v>
                </c:pt>
                <c:pt idx="11">
                  <c:v>Тереньгульский район</c:v>
                </c:pt>
                <c:pt idx="12">
                  <c:v>Вешкаймский район </c:v>
                </c:pt>
                <c:pt idx="13">
                  <c:v>Ульяновский район</c:v>
                </c:pt>
                <c:pt idx="14">
                  <c:v>Новомалыклинский район</c:v>
                </c:pt>
                <c:pt idx="15">
                  <c:v>Чердаклинский район</c:v>
                </c:pt>
                <c:pt idx="16">
                  <c:v>Карсунский район</c:v>
                </c:pt>
                <c:pt idx="17">
                  <c:v>Новоспасский район</c:v>
                </c:pt>
                <c:pt idx="18">
                  <c:v>Сурский район</c:v>
                </c:pt>
                <c:pt idx="19">
                  <c:v>Старомайнский район</c:v>
                </c:pt>
                <c:pt idx="20">
                  <c:v>Майнский район</c:v>
                </c:pt>
                <c:pt idx="21">
                  <c:v>Барышский район</c:v>
                </c:pt>
                <c:pt idx="22">
                  <c:v>Новоульяновск </c:v>
                </c:pt>
                <c:pt idx="23">
                  <c:v>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99.999999999999986</c:v>
                </c:pt>
                <c:pt idx="1">
                  <c:v>94.977186311787065</c:v>
                </c:pt>
                <c:pt idx="2">
                  <c:v>94.256212623802739</c:v>
                </c:pt>
                <c:pt idx="3">
                  <c:v>92.859798965967187</c:v>
                </c:pt>
                <c:pt idx="4">
                  <c:v>91.022450050888864</c:v>
                </c:pt>
                <c:pt idx="5">
                  <c:v>89.909886631568753</c:v>
                </c:pt>
                <c:pt idx="6">
                  <c:v>87.972970308627453</c:v>
                </c:pt>
                <c:pt idx="7">
                  <c:v>87.560515500835578</c:v>
                </c:pt>
                <c:pt idx="8">
                  <c:v>70.442545724009619</c:v>
                </c:pt>
                <c:pt idx="9">
                  <c:v>64.615117343764979</c:v>
                </c:pt>
                <c:pt idx="10">
                  <c:v>60.10241737822556</c:v>
                </c:pt>
                <c:pt idx="11">
                  <c:v>58.562061927589312</c:v>
                </c:pt>
                <c:pt idx="12">
                  <c:v>51.836454682264957</c:v>
                </c:pt>
                <c:pt idx="13">
                  <c:v>49.734563357704829</c:v>
                </c:pt>
                <c:pt idx="14">
                  <c:v>46.462429631075779</c:v>
                </c:pt>
                <c:pt idx="15">
                  <c:v>43.04741160243605</c:v>
                </c:pt>
                <c:pt idx="16">
                  <c:v>35.051773291082128</c:v>
                </c:pt>
                <c:pt idx="17">
                  <c:v>33.099855017980786</c:v>
                </c:pt>
                <c:pt idx="18">
                  <c:v>30.877656499747037</c:v>
                </c:pt>
                <c:pt idx="19">
                  <c:v>29.663625810921772</c:v>
                </c:pt>
                <c:pt idx="20">
                  <c:v>20.877500839443798</c:v>
                </c:pt>
                <c:pt idx="21">
                  <c:v>16.338151896618079</c:v>
                </c:pt>
                <c:pt idx="22">
                  <c:v>11.948236824121345</c:v>
                </c:pt>
                <c:pt idx="23">
                  <c:v>3.2272191289696965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19040"/>
        <c:axId val="101320576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Радищевский район</c:v>
                </c:pt>
                <c:pt idx="1">
                  <c:v>Старокулаткинский район</c:v>
                </c:pt>
                <c:pt idx="2">
                  <c:v>Кузоватовский район </c:v>
                </c:pt>
                <c:pt idx="3">
                  <c:v>Димитровград </c:v>
                </c:pt>
                <c:pt idx="4">
                  <c:v>Инзенский район</c:v>
                </c:pt>
                <c:pt idx="5">
                  <c:v>Базарносызганский район</c:v>
                </c:pt>
                <c:pt idx="6">
                  <c:v>Павловский район</c:v>
                </c:pt>
                <c:pt idx="7">
                  <c:v>Цильнинский район</c:v>
                </c:pt>
                <c:pt idx="8">
                  <c:v>Мелекесский район</c:v>
                </c:pt>
                <c:pt idx="9">
                  <c:v>Сенгилеевский район</c:v>
                </c:pt>
                <c:pt idx="10">
                  <c:v>Николаевский район </c:v>
                </c:pt>
                <c:pt idx="11">
                  <c:v>Тереньгульский район</c:v>
                </c:pt>
                <c:pt idx="12">
                  <c:v>Вешкаймский район </c:v>
                </c:pt>
                <c:pt idx="13">
                  <c:v>Ульяновский район</c:v>
                </c:pt>
                <c:pt idx="14">
                  <c:v>Новомалыклинский район</c:v>
                </c:pt>
                <c:pt idx="15">
                  <c:v>Чердаклинский район</c:v>
                </c:pt>
                <c:pt idx="16">
                  <c:v>Карсунский район</c:v>
                </c:pt>
                <c:pt idx="17">
                  <c:v>Новоспасский район</c:v>
                </c:pt>
                <c:pt idx="18">
                  <c:v>Сурский район</c:v>
                </c:pt>
                <c:pt idx="19">
                  <c:v>Старомайнский район</c:v>
                </c:pt>
                <c:pt idx="20">
                  <c:v>Майнский район</c:v>
                </c:pt>
                <c:pt idx="21">
                  <c:v>Барышский район</c:v>
                </c:pt>
                <c:pt idx="22">
                  <c:v>Новоульяновск </c:v>
                </c:pt>
                <c:pt idx="23">
                  <c:v>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336192"/>
        <c:axId val="101322112"/>
      </c:lineChart>
      <c:catAx>
        <c:axId val="10131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1320576"/>
        <c:crossesAt val="0"/>
        <c:auto val="1"/>
        <c:lblAlgn val="ctr"/>
        <c:lblOffset val="100"/>
        <c:noMultiLvlLbl val="0"/>
      </c:catAx>
      <c:valAx>
        <c:axId val="101320576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1319040"/>
        <c:crosses val="autoZero"/>
        <c:crossBetween val="between"/>
        <c:majorUnit val="15"/>
      </c:valAx>
      <c:valAx>
        <c:axId val="101322112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101336192"/>
        <c:crosses val="max"/>
        <c:crossBetween val="between"/>
        <c:majorUnit val="15"/>
        <c:minorUnit val="5"/>
      </c:valAx>
      <c:catAx>
        <c:axId val="101336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1322112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0.00768</cdr:x>
      <cdr:y>0.0807</cdr:y>
    </cdr:from>
    <cdr:to>
      <cdr:x>0.04062</cdr:x>
      <cdr:y>0.11755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2736" y="477982"/>
          <a:ext cx="311727" cy="2182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0.05598</cdr:x>
      <cdr:y>0.17544</cdr:y>
    </cdr:from>
    <cdr:to>
      <cdr:x>0.07574</cdr:x>
      <cdr:y>0.20176</cdr:y>
    </cdr:to>
    <cdr:sp macro="" textlink="">
      <cdr:nvSpPr>
        <cdr:cNvPr id="3" name="Блок-схема: перфолента 2"/>
        <cdr:cNvSpPr/>
      </cdr:nvSpPr>
      <cdr:spPr>
        <a:xfrm xmlns:a="http://schemas.openxmlformats.org/drawingml/2006/main">
          <a:off x="529936" y="1039091"/>
          <a:ext cx="187036" cy="155864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F408-FC3B-4675-9439-EB6D0B4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Мавзютов Ленар Асхатович</cp:lastModifiedBy>
  <cp:revision>72</cp:revision>
  <cp:lastPrinted>2021-04-16T06:30:00Z</cp:lastPrinted>
  <dcterms:created xsi:type="dcterms:W3CDTF">2020-09-17T11:25:00Z</dcterms:created>
  <dcterms:modified xsi:type="dcterms:W3CDTF">2021-04-16T13:13:00Z</dcterms:modified>
</cp:coreProperties>
</file>