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0784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461B5E">
              <w:rPr>
                <w:rFonts w:ascii="PT Astra Serif" w:hAnsi="PT Astra Serif"/>
                <w:b/>
                <w:sz w:val="48"/>
                <w:szCs w:val="48"/>
              </w:rPr>
              <w:t>январь-</w:t>
            </w:r>
            <w:r w:rsidR="00DE1428">
              <w:rPr>
                <w:rFonts w:ascii="PT Astra Serif" w:hAnsi="PT Astra Serif"/>
                <w:b/>
                <w:sz w:val="48"/>
                <w:szCs w:val="48"/>
              </w:rPr>
              <w:t>июнь</w:t>
            </w:r>
            <w:r w:rsidR="003542F2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>21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 w:rsidR="004A3DFF"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4F6A21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16"/>
          <w:szCs w:val="16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34525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>, в том числе согласно информации, полученной из единой информационной системы в сфере закупок,</w:t>
      </w:r>
      <w:r w:rsidR="003860B4" w:rsidRPr="003860B4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 xml:space="preserve">на </w:t>
      </w:r>
      <w:r w:rsidR="00D67207" w:rsidRPr="00AD7681">
        <w:rPr>
          <w:rFonts w:ascii="PT Astra Serif" w:hAnsi="PT Astra Serif"/>
          <w:sz w:val="28"/>
        </w:rPr>
        <w:t>диаграммах 1</w:t>
      </w:r>
      <w:r w:rsidR="00AE0F68" w:rsidRPr="00AD7681">
        <w:rPr>
          <w:rFonts w:ascii="PT Astra Serif" w:hAnsi="PT Astra Serif"/>
          <w:sz w:val="28"/>
        </w:rPr>
        <w:t>-</w:t>
      </w:r>
      <w:r w:rsidR="00AD7681" w:rsidRPr="00AD7681">
        <w:rPr>
          <w:rFonts w:ascii="PT Astra Serif" w:hAnsi="PT Astra Serif"/>
          <w:sz w:val="28"/>
        </w:rPr>
        <w:t>9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отчету).</w:t>
      </w:r>
    </w:p>
    <w:p w:rsidR="00D67207" w:rsidRPr="004F6A21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– Уполномоченный орган)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региональной информационной </w:t>
      </w:r>
      <w:r w:rsidR="00FB3DD7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«АЦК-Госзаказ» (далее </w:t>
      </w:r>
      <w:r w:rsidR="00FB3DD7">
        <w:rPr>
          <w:rFonts w:ascii="PT Astra Serif" w:hAnsi="PT Astra Serif"/>
          <w:sz w:val="28"/>
          <w:szCs w:val="28"/>
          <w:lang w:eastAsia="ru-RU"/>
        </w:rPr>
        <w:t>–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заказчики, Закон № 44-ФЗ</w:t>
      </w:r>
      <w:r w:rsidR="00FB3DD7">
        <w:rPr>
          <w:rFonts w:ascii="PT Astra Serif" w:hAnsi="PT Astra Serif"/>
          <w:sz w:val="28"/>
          <w:szCs w:val="28"/>
          <w:lang w:eastAsia="ru-RU"/>
        </w:rPr>
        <w:t>, РИС АЦК-Госзаказ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соответственно)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 xml:space="preserve">проведен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45</w:t>
      </w:r>
      <w:r w:rsidR="007A7A50" w:rsidRPr="00E424B1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 государственных заказчиков Ульяновской области на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на предмет наличия планов-графиков в единой информационной системе в сфере закупок (далее – ЕИС). </w:t>
      </w:r>
    </w:p>
    <w:p w:rsidR="007A7A50" w:rsidRDefault="007A7A50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объеме экономии по проведенным конкурентным процедурам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бюджет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включая подведомственную сеть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постановление правительства Ульяновской области от 27.05.2021 № 208-П «О внесении изменений в постановление Правительства Ульяновской области от 11.02.2020 № 48-П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F3774C" w:rsidRDefault="002324C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/>
          <w:sz w:val="28"/>
          <w:szCs w:val="28"/>
        </w:rPr>
        <w:t xml:space="preserve"> по мерам поддержки субъектов малого предпринимательства (в соответствии с перечнем поручений Правительств</w:t>
      </w:r>
      <w:r w:rsidR="00B0242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</w:t>
      </w:r>
      <w:r w:rsidR="004A3DFF">
        <w:rPr>
          <w:rFonts w:ascii="PT Astra Serif" w:hAnsi="PT Astra Serif"/>
          <w:sz w:val="28"/>
          <w:szCs w:val="28"/>
        </w:rPr>
        <w:t>Ф от 26.04.2020 № ММ-П43-4054кв</w:t>
      </w:r>
      <w:r>
        <w:rPr>
          <w:rFonts w:ascii="PT Astra Serif" w:hAnsi="PT Astra Serif"/>
          <w:sz w:val="28"/>
          <w:szCs w:val="28"/>
        </w:rPr>
        <w:t>)</w:t>
      </w:r>
      <w:r w:rsidR="00D52FC5" w:rsidRPr="00D52FC5">
        <w:rPr>
          <w:rFonts w:ascii="PT Astra Serif" w:hAnsi="PT Astra Serif"/>
          <w:sz w:val="28"/>
          <w:szCs w:val="28"/>
        </w:rPr>
        <w:t xml:space="preserve"> </w:t>
      </w:r>
      <w:r w:rsidR="00D52FC5">
        <w:rPr>
          <w:rFonts w:ascii="PT Astra Serif" w:hAnsi="PT Astra Serif"/>
          <w:sz w:val="28"/>
          <w:szCs w:val="28"/>
        </w:rPr>
        <w:t>(еженедельно)</w:t>
      </w:r>
      <w:r>
        <w:rPr>
          <w:rFonts w:ascii="PT Astra Serif" w:hAnsi="PT Astra Serif"/>
          <w:sz w:val="28"/>
          <w:szCs w:val="28"/>
        </w:rPr>
        <w:t>.</w:t>
      </w:r>
    </w:p>
    <w:p w:rsidR="004A3DFF" w:rsidRPr="00A701AC" w:rsidRDefault="00A701AC" w:rsidP="00A701A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Информация о несостоявшихся государственных закупках в разрезе ИОГВ (включая подведомственную сеть), о причинах сложившейся ситуации и мерах, направленных на увеличение доли состоявшихся закупок.</w:t>
      </w: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701AC" w:rsidRDefault="00A701AC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>осуществляется обучение/консультирование заказчиков</w:t>
      </w:r>
      <w:r w:rsidR="00630613">
        <w:rPr>
          <w:rFonts w:ascii="PT Astra Serif" w:hAnsi="PT Astra Serif"/>
          <w:sz w:val="28"/>
          <w:szCs w:val="28"/>
        </w:rPr>
        <w:t xml:space="preserve"> </w:t>
      </w:r>
      <w:r w:rsidRPr="009F725E">
        <w:rPr>
          <w:rFonts w:ascii="PT Astra Serif" w:hAnsi="PT Astra Serif"/>
          <w:sz w:val="28"/>
          <w:szCs w:val="28"/>
        </w:rPr>
        <w:t xml:space="preserve">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4A3DFF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/>
                <w:sz w:val="24"/>
                <w:szCs w:val="24"/>
              </w:rPr>
              <w:t>Особенности планирования закупок товаров, работ, услуг на 2021 год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  <w:t>Обзор изменений и нововведений в Федеральный закон от 05.04.2013 № 44-ФЗ.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 xml:space="preserve">1. </w:t>
            </w: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Применение единого структурированного справочника-каталога лекарственных препаратов для медицинского применения в единой информационной системе в сфере закупок.</w:t>
            </w:r>
          </w:p>
          <w:p w:rsidR="00E424B1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2. Обзор решений УФАС по Ульяновской области, касающихся вопросов применения национального режима при осуществлении закупок.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30613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27.01.2021</w:t>
            </w:r>
          </w:p>
        </w:tc>
        <w:tc>
          <w:tcPr>
            <w:tcW w:w="5529" w:type="dxa"/>
          </w:tcPr>
          <w:p w:rsidR="00630613" w:rsidRPr="004A3DFF" w:rsidRDefault="00630613" w:rsidP="00C87AB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Заведение новых казначейских счетов</w:t>
            </w:r>
          </w:p>
        </w:tc>
        <w:tc>
          <w:tcPr>
            <w:tcW w:w="1701" w:type="dxa"/>
          </w:tcPr>
          <w:p w:rsidR="00630613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1 группа</w:t>
            </w:r>
          </w:p>
          <w:p w:rsidR="004A3DFF" w:rsidRPr="004A3DFF" w:rsidRDefault="004A3DFF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E424B1" w:rsidRPr="004A3DFF" w:rsidRDefault="004A3DFF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E424B1" w:rsidRPr="004A3DFF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630613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2 группа</w:t>
            </w:r>
          </w:p>
          <w:p w:rsidR="00630613" w:rsidRPr="004A3DFF" w:rsidRDefault="00630613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630613" w:rsidRPr="004A3DFF" w:rsidRDefault="00630613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630613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04.02.2021</w:t>
            </w:r>
          </w:p>
        </w:tc>
        <w:tc>
          <w:tcPr>
            <w:tcW w:w="5529" w:type="dxa"/>
          </w:tcPr>
          <w:p w:rsidR="00307844" w:rsidRPr="00307844" w:rsidRDefault="00307844" w:rsidP="00307844">
            <w:pPr>
              <w:pStyle w:val="af"/>
              <w:jc w:val="both"/>
              <w:rPr>
                <w:rStyle w:val="docssharedwiztogglelabeledlabeltext"/>
                <w:rFonts w:ascii="PT Astra Serif" w:eastAsia="Calibri" w:hAnsi="PT Astra Serif"/>
                <w:lang w:eastAsia="en-US"/>
              </w:rPr>
            </w:pPr>
            <w:r w:rsidRPr="00307844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>Изменения КБК: вопросы перерегистрации контрактов в системе АЦК-Госзаказ.</w:t>
            </w:r>
            <w:r w:rsidRPr="00307844">
              <w:rPr>
                <w:rStyle w:val="docssharedwiztogglelabeledlabeltext"/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05.02.2021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Изменения КБК: вопросы перерегистрации контрактов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Порядок применения типового контракта на выполнение работ по монтажу систем (средств, установок) обеспечения пожарной безопасности зданий и сооружений.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госзакупок Ульяновской области и заказчиками муниципального уровня, государственными унитарными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предприятиями (группа 1)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Использование функционала платформы СБИС в рамках юридически значимого электронного документооборота между Агентством госзакупок Ульяновской области и заказчиками муниципального уровня, государств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енными унитарными предприятиями (группа 2)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24.03.2021</w:t>
            </w:r>
          </w:p>
        </w:tc>
        <w:tc>
          <w:tcPr>
            <w:tcW w:w="5529" w:type="dxa"/>
          </w:tcPr>
          <w:p w:rsidR="003C77D6" w:rsidRPr="003C77D6" w:rsidRDefault="003C77D6" w:rsidP="003C77D6">
            <w:pPr>
              <w:pStyle w:val="af"/>
              <w:jc w:val="both"/>
              <w:rPr>
                <w:rStyle w:val="docssharedwiztogglelabeledlabeltext"/>
                <w:rFonts w:ascii="PT Astra Serif" w:hAnsi="PT Astra Serif"/>
              </w:rPr>
            </w:pPr>
            <w:r w:rsidRPr="003C77D6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 xml:space="preserve">Особенности работы комиссии при установлении запретов на допуск и ограничений допуска товаров, работ, услуг, происходящих из иностранных государств (постановления Правительства РФ № 616 и № 617 от 30.04.2020, постановление Правительства РФ от 10.07.2019 </w:t>
            </w:r>
            <w:r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br/>
              <w:t>№ 878)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Обесп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ечение гарантийных обязательств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Модернизация функционала системы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br/>
            </w: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АЦК-Госзаказ в соответствии с изменениями законодательства о контрактн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ой системе с 1 апреля 2021 года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461B5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61B5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B5E" w:rsidRDefault="00461B5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09.04.2021</w:t>
            </w:r>
          </w:p>
        </w:tc>
        <w:tc>
          <w:tcPr>
            <w:tcW w:w="5529" w:type="dxa"/>
          </w:tcPr>
          <w:p w:rsidR="00461B5E" w:rsidRPr="003C77D6" w:rsidRDefault="00461B5E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61B5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Вопросы применения методики проведения мониторинга цен на территории муниципальных образований Ульяновской области.</w:t>
            </w:r>
          </w:p>
        </w:tc>
        <w:tc>
          <w:tcPr>
            <w:tcW w:w="1701" w:type="dxa"/>
          </w:tcPr>
          <w:p w:rsidR="00461B5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461B5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61B5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B5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14.04.2021</w:t>
            </w:r>
          </w:p>
        </w:tc>
        <w:tc>
          <w:tcPr>
            <w:tcW w:w="5529" w:type="dxa"/>
          </w:tcPr>
          <w:p w:rsidR="00461B5E" w:rsidRPr="00461B5E" w:rsidRDefault="008907FE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с 01.04.2021 порядка проведения запроса котировок в электронной форме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(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группа 1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)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1B5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с 01.04.2021 порядка проведения запроса котировок в электронной форме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(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группа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2)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Особенности работы в АЦК-Госзаказ после перехода Единой информационной системы в сфере закупок на версию 11.1.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типового контракта на поставку лекарственных препаратов для медицинского применения.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Важные аспекты работы комиссии по осуществлению закупок.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Применение национального режима при осуществлении закупок по 44-ФЗ. Новации 2021 года. Положения квотирования согласно Постановлению Правительства РФ от 03.12.2020 № 2014.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Основные правила работы в системе АЦК-Госзаказ. Электронные документы. Взаимодействие с внешними информационными системами.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Мониторинг муниципальных нормативно-правовых актов в сфере закупок: итоги, проблемы, типовые ошибки.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Актуальные изменения законодательства, регулирующего закупки медицинских изделий.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Мониторинг цен в муниципальных образованиях: особенности, рекомендации, предложения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Порядок и особенности участия в вебинарах на платформе «VideoMost»: инструкция по подключению к системе ВКС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 над ошибками: заявка, контракт, документация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 над ошибками: заявка, контракт, документация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E60951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1187</w:t>
            </w:r>
          </w:p>
        </w:tc>
      </w:tr>
    </w:tbl>
    <w:p w:rsidR="00A701AC" w:rsidRDefault="00A701AC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01AC" w:rsidRDefault="00A701AC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01AC" w:rsidRDefault="00A701AC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630613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613" w:rsidRPr="008516EF" w:rsidRDefault="00630613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8516EF" w:rsidRDefault="0063061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7844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Pr="008516EF" w:rsidRDefault="00307844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844" w:rsidRDefault="008B368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77D6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07FE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8907FE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430E6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7AB2" w:rsidRPr="008516EF" w:rsidTr="00630613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AB2" w:rsidRDefault="00C87AB2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3C08" w:rsidRPr="008516EF" w:rsidTr="00803C08">
        <w:trPr>
          <w:trHeight w:val="6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08" w:rsidRPr="00803C08" w:rsidRDefault="00E60951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613" w:rsidRPr="008516EF" w:rsidTr="00630613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E6D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430E6D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430E6D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13" w:rsidRPr="00430E6D" w:rsidRDefault="00803C08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8907FE" w:rsidRDefault="008907FE" w:rsidP="008907F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8907F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8907F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lastRenderedPageBreak/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B52CC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2170"/>
      </w:tblGrid>
      <w:tr w:rsidR="007909B1" w:rsidRPr="008516EF" w:rsidTr="008B368C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8B368C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8B368C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6D71B5" w:rsidRDefault="007909B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E6139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238</w:t>
            </w:r>
          </w:p>
        </w:tc>
      </w:tr>
      <w:tr w:rsidR="008B368C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Pr="006D71B5" w:rsidRDefault="008B368C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364</w:t>
            </w:r>
          </w:p>
        </w:tc>
      </w:tr>
      <w:tr w:rsidR="003C77D6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830</w:t>
            </w:r>
          </w:p>
        </w:tc>
      </w:tr>
      <w:tr w:rsidR="008907FE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8907FE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953</w:t>
            </w:r>
          </w:p>
        </w:tc>
      </w:tr>
      <w:tr w:rsidR="001619B2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Май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835</w:t>
            </w:r>
          </w:p>
        </w:tc>
      </w:tr>
      <w:tr w:rsidR="00E60951" w:rsidRPr="008516EF" w:rsidTr="008B368C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Июнь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843</w:t>
            </w:r>
          </w:p>
        </w:tc>
      </w:tr>
      <w:tr w:rsidR="00E61395" w:rsidRPr="008516EF" w:rsidTr="008B368C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1395" w:rsidP="00E6139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3635C9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0951" w:rsidP="00E61395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2348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0951" w:rsidP="008B368C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1310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0951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0951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174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395" w:rsidRPr="003635C9" w:rsidRDefault="00E60951" w:rsidP="00E61395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4063</w:t>
            </w:r>
          </w:p>
        </w:tc>
      </w:tr>
    </w:tbl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701AC" w:rsidRDefault="00A701AC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4360A8" w:rsidRDefault="004360A8" w:rsidP="00A701AC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Цифровизация в сфере закупок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осуществлен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ОГКУ «Центр по сопровождению закупок» осуществляется 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 xml:space="preserve">заключённых заказчиками контрактов, размещённых в единой информационной системе в сфере закупок в соответствии с 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 xml:space="preserve">Законом </w:t>
      </w:r>
      <w:r>
        <w:rPr>
          <w:rFonts w:ascii="PT Astra Serif" w:hAnsi="PT Astra Serif"/>
          <w:sz w:val="28"/>
          <w:szCs w:val="28"/>
          <w:lang w:eastAsia="ru-RU"/>
        </w:rPr>
        <w:br/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№ 44-ФЗ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4FC2" w:rsidRPr="007F4FC2" w:rsidRDefault="007F4FC2" w:rsidP="007F4FC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Анализ 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проводится за определённый временной промежуток в разрезе закупок Ульяновской области и/или в сравнении с закупками Приволжского Федерального округа и по России в целом. </w:t>
      </w:r>
    </w:p>
    <w:p w:rsidR="003035FA" w:rsidRDefault="003035F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C0BD3" w:rsidRPr="005C0BD3" w:rsidRDefault="00350184" w:rsidP="00E63A3C">
      <w:pPr>
        <w:pStyle w:val="a3"/>
        <w:numPr>
          <w:ilvl w:val="0"/>
          <w:numId w:val="30"/>
        </w:numPr>
        <w:spacing w:after="0" w:line="240" w:lineRule="auto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взаимодействия с федеральными органами </w:t>
      </w:r>
    </w:p>
    <w:p w:rsidR="00350184" w:rsidRPr="005C0BD3" w:rsidRDefault="00350184" w:rsidP="0004111C">
      <w:pPr>
        <w:pStyle w:val="a3"/>
        <w:spacing w:after="0" w:line="240" w:lineRule="auto"/>
        <w:ind w:left="0"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вопросам закупок</w:t>
      </w:r>
    </w:p>
    <w:p w:rsidR="00AF3B54" w:rsidRDefault="007F4FC2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F3B54"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 w:rsid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4632E" w:rsidRDefault="00350184" w:rsidP="0084632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 xml:space="preserve">-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.2021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подготовлены и направлены сведения от Ульяновской области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для расчёта Рейтинга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эффективности и прозрачности закупочных систем регионов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РФ за 2020 год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(от 1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59исх.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DE10C1" w:rsidRDefault="00C762D3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25.03.2021 </w:t>
      </w:r>
      <w:r w:rsidR="002C3B2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открыто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заседани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ООО ГОС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и партнеров 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val="en-US" w:eastAsia="ru-RU"/>
        </w:rPr>
        <w:t>XVI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сероссийско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форум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-выставки «ГОСЗАКАЗ»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ая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ь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награждена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диплом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Рейтинга эффективности и прозрачности закупочных систем регионов Российской Федерации за 2020 год</w:t>
      </w:r>
      <w:r w:rsid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3506F" w:rsidRPr="0083506F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«Лидер»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показателю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«Снятие административных барьеров и обеспечение доступности информации о региональной системе государственных закупок»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Высший уровень Рейтинга по показателям: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закупок региона»,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региона»,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762D3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 «Оценка информационной инфраструктуры закупок 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осуществления закупочных процедур»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региона»,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осуществления закупочных процедур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«Снятие административных барьеров и обеспечение доступности информации о региональной системе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муниципальных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 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Нормативная база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закупок 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муниципальных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».</w:t>
      </w:r>
    </w:p>
    <w:p w:rsidR="00D5159E" w:rsidRDefault="00D5159E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83506F" w:rsidRDefault="008907FE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- 30.04.2021 в</w:t>
      </w:r>
      <w:r w:rsidRPr="008907F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целях формирования свода законодательных инициатив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и направлены</w:t>
      </w:r>
      <w:r w:rsidRPr="008907F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предложения по совершенствованию законодательства о контрактной системе и подзаконных нормативных правовых актов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30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141исх.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).</w:t>
      </w:r>
    </w:p>
    <w:p w:rsidR="008907FE" w:rsidRDefault="008907FE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4360A8" w:rsidRPr="00C762D3" w:rsidRDefault="004360A8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C0BD3" w:rsidRPr="005C0BD3" w:rsidRDefault="005C0BD3" w:rsidP="0004111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5C0BD3" w:rsidRPr="005C0BD3" w:rsidRDefault="005C0BD3" w:rsidP="005C0BD3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Неделях контрактных отношений и закупок Ульяновской области</w:t>
      </w:r>
    </w:p>
    <w:p w:rsidR="005C0BD3" w:rsidRDefault="005C0BD3" w:rsidP="005C0BD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24-26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I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контрактных отношений и закупок Ульяновской области «</w:t>
      </w:r>
      <w:r w:rsidRPr="003773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Нам есть чем гордиться: результаты, достижения, перспективные направления в сфере региональных закупок</w:t>
      </w:r>
      <w:r w:rsidR="000411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5C0BD3" w:rsidRPr="00124B33" w:rsidRDefault="005C0BD3" w:rsidP="005C0BD3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124B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500 человек).</w:t>
      </w:r>
    </w:p>
    <w:p w:rsidR="00A84C1B" w:rsidRDefault="005C0BD3" w:rsidP="005C0B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</w:t>
      </w:r>
      <w:r w:rsid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 2020 год по:</w:t>
      </w:r>
    </w:p>
    <w:p w:rsidR="005C0BD3" w:rsidRDefault="00A84C1B" w:rsidP="005C0BD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="005C0BD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основны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результат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закупок в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A84C1B" w:rsidRPr="00A84C1B" w:rsidRDefault="00A84C1B" w:rsidP="005C0B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Рейтингу муниципальных образований Ульяновской области по итогам осуществления ими закупочной деятельности;</w:t>
      </w:r>
    </w:p>
    <w:p w:rsidR="00A84C1B" w:rsidRDefault="00A84C1B" w:rsidP="005C0BD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участию организаций инвалидов в государственных и муниципальных закупках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0842DB" w:rsidRDefault="000842DB" w:rsidP="00802B9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0842DB" w:rsidSect="00091DAA">
          <w:headerReference w:type="default" r:id="rId9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9201C5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58FB458" wp14:editId="6454DAED">
            <wp:extent cx="9601200" cy="5886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D9525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0">
              <w:txbxContent>
                <w:p w:rsidR="00647DE8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647DE8" w:rsidRPr="000842DB" w:rsidRDefault="00647DE8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</w:t>
                  </w:r>
                  <w:r w:rsidR="00257F3C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B52CCB" w:rsidRPr="007C7B70" w:rsidRDefault="007C7B70" w:rsidP="007C7B70">
      <w:pPr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* </w:t>
      </w:r>
      <w:r w:rsidRPr="007C7B70">
        <w:rPr>
          <w:rFonts w:ascii="PT Astra Serif" w:hAnsi="PT Astra Serif"/>
          <w:noProof/>
          <w:lang w:eastAsia="ru-RU"/>
        </w:rPr>
        <w:t xml:space="preserve">без учета долгосрочных контрактов, заключенных в прошлых годах </w:t>
      </w:r>
      <w:r>
        <w:rPr>
          <w:rFonts w:ascii="PT Astra Serif" w:hAnsi="PT Astra Serif"/>
          <w:noProof/>
          <w:lang w:eastAsia="ru-RU"/>
        </w:rPr>
        <w:t xml:space="preserve">в том числе </w:t>
      </w:r>
      <w:r w:rsidRPr="007C7B70">
        <w:rPr>
          <w:rFonts w:ascii="PT Astra Serif" w:hAnsi="PT Astra Serif"/>
          <w:noProof/>
          <w:lang w:eastAsia="ru-RU"/>
        </w:rPr>
        <w:t xml:space="preserve">на бюджет 2021 года </w:t>
      </w:r>
    </w:p>
    <w:p w:rsidR="00D04553" w:rsidRDefault="00D04553" w:rsidP="00111E7E">
      <w:pPr>
        <w:rPr>
          <w:noProof/>
          <w:lang w:eastAsia="ru-RU"/>
        </w:rPr>
      </w:pPr>
    </w:p>
    <w:p w:rsidR="00B52CCB" w:rsidRDefault="00D95259" w:rsidP="00FC2EE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115" type="#_x0000_t202" style="position:absolute;margin-left:656.8pt;margin-top:-33.4pt;width:101pt;height:32.7pt;z-index:251666944" stroked="f">
            <v:textbox style="mso-next-textbox:#_x0000_s1115">
              <w:txbxContent>
                <w:p w:rsidR="00647DE8" w:rsidRPr="00937DDA" w:rsidRDefault="00647DE8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  <w:r w:rsidR="0001502B">
        <w:rPr>
          <w:noProof/>
          <w:lang w:eastAsia="ru-RU"/>
        </w:rPr>
        <w:drawing>
          <wp:inline distT="0" distB="0" distL="0" distR="0" wp14:anchorId="55918AA4" wp14:editId="13A75891">
            <wp:extent cx="9677400" cy="5705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2CC8" w:rsidRDefault="00DE1428" w:rsidP="00FC2EE9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B76929F" wp14:editId="2F82D8E0">
            <wp:extent cx="9667875" cy="5867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95259">
        <w:rPr>
          <w:noProof/>
          <w:lang w:eastAsia="ru-RU"/>
        </w:rPr>
        <w:pict>
          <v:shape id="_x0000_s1074" type="#_x0000_t202" style="position:absolute;margin-left:652.05pt;margin-top:-34.4pt;width:101pt;height:32.7pt;z-index:251656704;mso-position-horizontal-relative:text;mso-position-vertical-relative:text" stroked="f">
            <v:textbox style="mso-next-textbox:#_x0000_s1074">
              <w:txbxContent>
                <w:p w:rsidR="00647DE8" w:rsidRPr="00937DDA" w:rsidRDefault="00647DE8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</w:p>
    <w:p w:rsidR="00B52CCB" w:rsidRPr="00CD6F80" w:rsidRDefault="00D95259" w:rsidP="007F76E0">
      <w:pPr>
        <w:rPr>
          <w:noProof/>
          <w:lang w:val="en-US" w:eastAsia="ru-RU"/>
        </w:rPr>
      </w:pPr>
      <w:r>
        <w:rPr>
          <w:noProof/>
          <w:lang w:eastAsia="ru-RU"/>
        </w:rPr>
        <w:pict>
          <v:shape id="_x0000_s1090" type="#_x0000_t202" style="position:absolute;margin-left:-5.2pt;margin-top:1.7pt;width:758.25pt;height:43.5pt;z-index:251662848;mso-position-horizontal-relative:text;mso-position-vertical-relative:text" stroked="f">
            <v:textbox style="mso-next-textbox:#_x0000_s1090">
              <w:txbxContent>
                <w:p w:rsidR="00647DE8" w:rsidRDefault="00647DE8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  <w:p w:rsidR="00F02A85" w:rsidRDefault="00F02A85" w:rsidP="00ED3AB7">
                  <w:pPr>
                    <w:rPr>
                      <w:rFonts w:ascii="PT Astra Serif" w:hAnsi="PT Astra Serif"/>
                    </w:rPr>
                  </w:pPr>
                </w:p>
                <w:p w:rsidR="00F02A85" w:rsidRDefault="00F02A85" w:rsidP="00ED3AB7">
                  <w:pPr>
                    <w:rPr>
                      <w:rFonts w:ascii="PT Astra Serif" w:hAnsi="PT Astra Serif"/>
                    </w:rPr>
                  </w:pPr>
                </w:p>
                <w:p w:rsidR="00F02A85" w:rsidRPr="008B53EE" w:rsidRDefault="00F02A85" w:rsidP="00ED3AB7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tbl>
      <w:tblPr>
        <w:tblStyle w:val="a4"/>
        <w:tblW w:w="23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61"/>
        <w:gridCol w:w="7266"/>
      </w:tblGrid>
      <w:tr w:rsidR="00CD6F80" w:rsidTr="00FC7B35">
        <w:trPr>
          <w:trHeight w:val="9491"/>
        </w:trPr>
        <w:tc>
          <w:tcPr>
            <w:tcW w:w="15861" w:type="dxa"/>
          </w:tcPr>
          <w:p w:rsidR="00F02A85" w:rsidRPr="009262A7" w:rsidRDefault="00D95259" w:rsidP="009262A7">
            <w:pPr>
              <w:tabs>
                <w:tab w:val="left" w:pos="12555"/>
              </w:tabs>
              <w:rPr>
                <w:rFonts w:ascii="PT Astra Serif" w:hAnsi="PT Astra Serif"/>
                <w:sz w:val="28"/>
              </w:rPr>
            </w:pPr>
            <w:r>
              <w:rPr>
                <w:noProof/>
                <w:lang w:eastAsia="ru-RU"/>
              </w:rPr>
              <w:lastRenderedPageBreak/>
              <w:pict>
                <v:shape id="_x0000_s1068" type="#_x0000_t202" style="position:absolute;margin-left:288.4pt;margin-top:41.35pt;width:95.35pt;height:28.05pt;z-index:251653632;mso-position-horizontal-relative:text;mso-position-vertical-relative:text" stroked="f">
                  <v:textbox style="mso-next-textbox:#_x0000_s1068">
                    <w:txbxContent>
                      <w:p w:rsidR="00647DE8" w:rsidRDefault="00CD6F80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</w:rPr>
                          <w:t>Диагра</w:t>
                        </w:r>
                        <w:r w:rsidR="007F76E0">
                          <w:rPr>
                            <w:rFonts w:ascii="PT Astra Serif" w:hAnsi="PT Astra Serif"/>
                            <w:sz w:val="28"/>
                          </w:rPr>
                          <w:t>мма 4</w:t>
                        </w:r>
                      </w:p>
                      <w:p w:rsidR="00F02A85" w:rsidRPr="009C1908" w:rsidRDefault="00F02A85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_x0000_s1119" type="#_x0000_t202" style="position:absolute;margin-left:0;margin-top:4.6pt;width:781pt;height:55pt;z-index:251668992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stroked="f">
                  <v:textbox style="mso-next-textbox:#_x0000_s1119;mso-fit-shape-to-text:t">
                    <w:txbxContent>
                      <w:p w:rsidR="00F02A85" w:rsidRPr="00F02A85" w:rsidRDefault="00F02A85" w:rsidP="009262A7">
                        <w:pPr>
                          <w:jc w:val="center"/>
                          <w:rPr>
                            <w:rFonts w:ascii="PT Astra Serif" w:hAnsi="PT Astra Serif"/>
                            <w:b/>
                            <w:sz w:val="28"/>
                            <w:szCs w:val="28"/>
                          </w:rPr>
                        </w:pPr>
                        <w:r w:rsidRPr="00F02A85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Информация об объеме несостоявшихся процедур</w:t>
                        </w:r>
                        <w:r w:rsidR="009D1C0E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*</w:t>
                        </w:r>
                        <w:r w:rsidRPr="00F02A85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, объявленных Упо</w:t>
                        </w:r>
                        <w:r w:rsidR="00FF1CAB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>лномоченным органом в январе-июне</w:t>
                        </w:r>
                        <w:r w:rsidRPr="00F02A85">
                          <w:rPr>
                            <w:rFonts w:ascii="PT Astra Serif" w:hAnsi="PT Astra Serif"/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 xml:space="preserve"> 2021 года</w:t>
                        </w:r>
                      </w:p>
                    </w:txbxContent>
                  </v:textbox>
                  <w10:wrap type="square"/>
                </v:shape>
              </w:pict>
            </w:r>
            <w:r w:rsidR="009262A7">
              <w:rPr>
                <w:noProof/>
                <w:lang w:eastAsia="ru-RU"/>
              </w:rPr>
              <w:tab/>
              <w:t xml:space="preserve">                     </w:t>
            </w:r>
            <w:r w:rsidR="009262A7" w:rsidRPr="009262A7">
              <w:rPr>
                <w:rFonts w:ascii="PT Astra Serif" w:hAnsi="PT Astra Serif"/>
                <w:sz w:val="28"/>
              </w:rPr>
              <w:t>Диаграмма 5</w:t>
            </w:r>
          </w:p>
          <w:p w:rsidR="00F02A85" w:rsidRDefault="009262A7" w:rsidP="009262A7">
            <w:pPr>
              <w:tabs>
                <w:tab w:val="center" w:pos="7830"/>
              </w:tabs>
            </w:pPr>
            <w:r>
              <w:t xml:space="preserve">          </w:t>
            </w:r>
            <w:r w:rsidR="00FC7B35">
              <w:rPr>
                <w:noProof/>
                <w:lang w:eastAsia="ru-RU"/>
              </w:rPr>
              <w:drawing>
                <wp:inline distT="0" distB="0" distL="0" distR="0" wp14:anchorId="584985CE" wp14:editId="179F11C6">
                  <wp:extent cx="4781550" cy="4914900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>
              <w:t xml:space="preserve">    </w:t>
            </w:r>
            <w:r w:rsidR="00FC7B35">
              <w:rPr>
                <w:noProof/>
                <w:lang w:eastAsia="ru-RU"/>
              </w:rPr>
              <w:drawing>
                <wp:inline distT="0" distB="0" distL="0" distR="0" wp14:anchorId="3CBFF58E" wp14:editId="3CFBC187">
                  <wp:extent cx="4419600" cy="491490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266" w:type="dxa"/>
          </w:tcPr>
          <w:p w:rsidR="00CD6F80" w:rsidRDefault="00D95259" w:rsidP="00BE2ED0">
            <w:r>
              <w:rPr>
                <w:noProof/>
                <w:lang w:eastAsia="ru-RU"/>
              </w:rPr>
              <w:pict>
                <v:shape id="_x0000_s1066" type="#_x0000_t202" style="position:absolute;margin-left:258pt;margin-top:-29.3pt;width:91.25pt;height:27.75pt;z-index:251651584;mso-position-horizontal-relative:text;mso-position-vertical-relative:text" stroked="f">
                  <v:textbox style="mso-next-textbox:#_x0000_s1066">
                    <w:txbxContent>
                      <w:p w:rsidR="00647DE8" w:rsidRDefault="00647DE8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  <w:r>
                          <w:rPr>
                            <w:rFonts w:ascii="PT Astra Serif" w:hAnsi="PT Astra Serif"/>
                            <w:sz w:val="28"/>
                          </w:rPr>
                          <w:t xml:space="preserve">Диаграмма </w:t>
                        </w:r>
                        <w:r w:rsidR="00AD7681">
                          <w:rPr>
                            <w:rFonts w:ascii="PT Astra Serif" w:hAnsi="PT Astra Serif"/>
                            <w:sz w:val="28"/>
                          </w:rPr>
                          <w:t>5</w:t>
                        </w:r>
                      </w:p>
                      <w:p w:rsidR="00F02A85" w:rsidRDefault="00F02A85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</w:p>
                      <w:p w:rsidR="00F02A85" w:rsidRPr="00937DDA" w:rsidRDefault="00F02A85">
                        <w:pPr>
                          <w:rPr>
                            <w:rFonts w:ascii="PT Astra Serif" w:hAnsi="PT Astra Serif"/>
                            <w:sz w:val="28"/>
                          </w:rPr>
                        </w:pPr>
                      </w:p>
                    </w:txbxContent>
                  </v:textbox>
                </v:shape>
              </w:pict>
            </w:r>
            <w:r w:rsidR="00F02A85">
              <w:t>…</w:t>
            </w:r>
          </w:p>
          <w:p w:rsidR="00F02A85" w:rsidRDefault="00F02A85" w:rsidP="00BE2ED0"/>
          <w:p w:rsidR="009262A7" w:rsidRDefault="009262A7" w:rsidP="00BE2ED0"/>
          <w:p w:rsidR="00F02A85" w:rsidRDefault="00F02A85" w:rsidP="00BE2ED0"/>
          <w:p w:rsidR="00F02A85" w:rsidRDefault="00F02A85" w:rsidP="00BE2ED0"/>
        </w:tc>
      </w:tr>
    </w:tbl>
    <w:p w:rsidR="00CD6F80" w:rsidRPr="009D1C0E" w:rsidRDefault="009D1C0E" w:rsidP="00111E7E">
      <w:pPr>
        <w:tabs>
          <w:tab w:val="left" w:pos="2160"/>
        </w:tabs>
        <w:rPr>
          <w:rFonts w:ascii="PT Astra Serif" w:hAnsi="PT Astra Serif"/>
          <w:lang w:eastAsia="ru-RU"/>
        </w:rPr>
      </w:pPr>
      <w:r>
        <w:rPr>
          <w:lang w:eastAsia="ru-RU"/>
        </w:rPr>
        <w:t>*</w:t>
      </w:r>
      <w:r w:rsidRPr="009D1C0E">
        <w:rPr>
          <w:rFonts w:ascii="PT Astra Serif" w:hAnsi="PT Astra Serif"/>
          <w:lang w:eastAsia="ru-RU"/>
        </w:rPr>
        <w:t>учитываются процедуры, по которым в итоговом протоколе остались 0 или 1 заявка</w:t>
      </w:r>
    </w:p>
    <w:p w:rsidR="000B0691" w:rsidRDefault="00D95259" w:rsidP="00111E7E">
      <w:pPr>
        <w:tabs>
          <w:tab w:val="left" w:pos="2160"/>
        </w:tabs>
        <w:rPr>
          <w:lang w:eastAsia="ru-RU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Надпись 2" o:spid="_x0000_s1055" type="#_x0000_t202" style="position:absolute;margin-left:267.3pt;margin-top:31.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647DE8" w:rsidRPr="000842DB" w:rsidRDefault="00647DE8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="00CD6F80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 w:rsidR="00AD7681">
                    <w:rPr>
                      <w:rFonts w:ascii="PT Astra Serif" w:hAnsi="PT Astra Serif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lang w:eastAsia="ru-RU"/>
        </w:rPr>
        <w:pict>
          <v:shape id="_x0000_s1117" type="#_x0000_t202" style="position:absolute;margin-left:631.05pt;margin-top:31.5pt;width:93.75pt;height:22.5pt;z-index:251667968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117">
              <w:txbxContent>
                <w:p w:rsidR="00AD7681" w:rsidRPr="000842DB" w:rsidRDefault="00AD7681" w:rsidP="00AD7681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 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1" type="#_x0000_t202" style="position:absolute;margin-left:0;margin-top:4.6pt;width:781pt;height:25.95pt;z-index:251670016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stroked="f">
            <v:textbox style="mso-next-textbox:#_x0000_s1121">
              <w:txbxContent>
                <w:p w:rsidR="000B0691" w:rsidRPr="00F02A85" w:rsidRDefault="000B0691" w:rsidP="000B0691">
                  <w:pPr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F02A85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Информация об объеме несостоявшихся процедур</w:t>
                  </w:r>
                  <w:r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*</w:t>
                  </w:r>
                  <w:r w:rsidRPr="00F02A85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 xml:space="preserve">, объявленных </w:t>
                  </w:r>
                  <w:r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>самостоятельно заказчиками</w:t>
                  </w:r>
                  <w:r w:rsidRPr="00F02A85">
                    <w:rPr>
                      <w:rFonts w:ascii="PT Astra Serif" w:hAnsi="PT Astra Serif"/>
                      <w:b/>
                      <w:noProof/>
                      <w:sz w:val="28"/>
                      <w:szCs w:val="28"/>
                      <w:lang w:eastAsia="ru-RU"/>
                    </w:rPr>
                    <w:t xml:space="preserve"> в январе-мае 2021 года</w:t>
                  </w:r>
                </w:p>
              </w:txbxContent>
            </v:textbox>
            <w10:wrap type="square"/>
          </v:shape>
        </w:pic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7491"/>
      </w:tblGrid>
      <w:tr w:rsidR="00CD6F80" w:rsidTr="00FC7B35">
        <w:trPr>
          <w:trHeight w:val="8652"/>
        </w:trPr>
        <w:tc>
          <w:tcPr>
            <w:tcW w:w="7716" w:type="dxa"/>
          </w:tcPr>
          <w:p w:rsidR="00CD6F80" w:rsidRDefault="00D95259" w:rsidP="00BE2ED0">
            <w:r>
              <w:rPr>
                <w:noProof/>
                <w:lang w:eastAsia="ru-RU"/>
              </w:rPr>
              <w:pict>
                <v:rect id="_x0000_s1123" style="position:absolute;margin-left:.55pt;margin-top:411.2pt;width:483pt;height:24pt;z-index:251671040" stroked="f">
                  <v:textbox style="mso-next-textbox:#_x0000_s1123">
                    <w:txbxContent>
                      <w:p w:rsidR="00EA0670" w:rsidRPr="00EA0670" w:rsidRDefault="00EA0670" w:rsidP="00EA0670">
                        <w:pPr>
                          <w:rPr>
                            <w:rFonts w:ascii="PT Astra Serif" w:hAnsi="PT Astra Serif"/>
                          </w:rPr>
                        </w:pPr>
                        <w:r w:rsidRPr="00EA0670">
                          <w:rPr>
                            <w:rFonts w:ascii="PT Astra Serif" w:hAnsi="PT Astra Serif"/>
                          </w:rPr>
                          <w:t xml:space="preserve">* учитываются </w:t>
                        </w:r>
                        <w:r w:rsidRPr="00EA0670">
                          <w:rPr>
                            <w:rFonts w:ascii="PT Astra Serif" w:hAnsi="PT Astra Serif"/>
                            <w:lang w:eastAsia="ru-RU"/>
                          </w:rPr>
                          <w:t>процедуры, по которым в итоговом протоколе остались 0 или 1 заявка</w:t>
                        </w:r>
                      </w:p>
                    </w:txbxContent>
                  </v:textbox>
                </v:rect>
              </w:pict>
            </w:r>
            <w:r w:rsidR="00FC7B35">
              <w:rPr>
                <w:noProof/>
                <w:lang w:eastAsia="ru-RU"/>
              </w:rPr>
              <w:drawing>
                <wp:inline distT="0" distB="0" distL="0" distR="0" wp14:anchorId="34B1C0D1" wp14:editId="223EEA0B">
                  <wp:extent cx="4705350" cy="5000625"/>
                  <wp:effectExtent l="0" t="0" r="0" b="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7206" w:type="dxa"/>
          </w:tcPr>
          <w:p w:rsidR="00CD6F80" w:rsidRDefault="00FC7B35" w:rsidP="00BE2ED0">
            <w:r>
              <w:rPr>
                <w:noProof/>
                <w:lang w:eastAsia="ru-RU"/>
              </w:rPr>
              <w:drawing>
                <wp:inline distT="0" distB="0" distL="0" distR="0" wp14:anchorId="49FF22D4" wp14:editId="6C42E6BD">
                  <wp:extent cx="4619625" cy="5000625"/>
                  <wp:effectExtent l="0" t="0" r="0" b="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ED3AB7" w:rsidRDefault="00ED3AB7" w:rsidP="00DE43F7">
      <w:pPr>
        <w:rPr>
          <w:noProof/>
          <w:lang w:eastAsia="ru-RU"/>
        </w:rPr>
      </w:pPr>
    </w:p>
    <w:p w:rsidR="00D63609" w:rsidRDefault="00D95259" w:rsidP="00DE43F7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126" type="#_x0000_t122" style="position:absolute;margin-left:39.7pt;margin-top:81.9pt;width:18pt;height:15pt;z-index:251673088;mso-position-horizontal:absolute" strokecolor="white [3212]"/>
        </w:pict>
      </w:r>
      <w:r>
        <w:rPr>
          <w:noProof/>
          <w:lang w:eastAsia="ru-RU"/>
        </w:rPr>
        <w:pict>
          <v:rect id="_x0000_s1125" style="position:absolute;margin-left:4.3pt;margin-top:36.3pt;width:29.25pt;height:16.5pt;z-index:251672064;mso-position-vertical:absolute" stroked="f" strokecolor="black [3213]"/>
        </w:pict>
      </w:r>
      <w:r>
        <w:rPr>
          <w:noProof/>
          <w:lang w:eastAsia="ru-RU"/>
        </w:rPr>
        <w:pict>
          <v:shape id="_x0000_s1069" type="#_x0000_t202" style="position:absolute;margin-left:657.6pt;margin-top:-29.15pt;width:94.45pt;height:25.25pt;z-index:251654656;mso-position-horizontal-relative:text;mso-position-vertical-relative:text" stroked="f">
            <v:textbox style="mso-next-textbox:#_x0000_s1069">
              <w:txbxContent>
                <w:p w:rsidR="00647DE8" w:rsidRPr="009C1908" w:rsidRDefault="00647DE8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 w:rsidR="00CD6F80">
                    <w:rPr>
                      <w:rFonts w:ascii="PT Astra Serif" w:hAnsi="PT Astra Serif"/>
                      <w:sz w:val="28"/>
                    </w:rPr>
                    <w:t xml:space="preserve">мма </w:t>
                  </w:r>
                  <w:r w:rsidR="00AD7681">
                    <w:rPr>
                      <w:rFonts w:ascii="PT Astra Serif" w:hAnsi="PT Astra Serif"/>
                      <w:sz w:val="28"/>
                    </w:rPr>
                    <w:t>8</w:t>
                  </w:r>
                </w:p>
              </w:txbxContent>
            </v:textbox>
          </v:shape>
        </w:pict>
      </w:r>
      <w:bookmarkStart w:id="0" w:name="_GoBack"/>
      <w:r w:rsidR="00FC7B35">
        <w:rPr>
          <w:noProof/>
          <w:lang w:eastAsia="ru-RU"/>
        </w:rPr>
        <w:drawing>
          <wp:inline distT="0" distB="0" distL="0" distR="0" wp14:anchorId="23934E1F" wp14:editId="4B7B21CC">
            <wp:extent cx="9382125" cy="58959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88666A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255AB49C" wp14:editId="6B87EB52">
            <wp:extent cx="9563100" cy="5457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D95259">
        <w:rPr>
          <w:noProof/>
          <w:lang w:eastAsia="ru-RU"/>
        </w:rPr>
        <w:pict>
          <v:shape id="_x0000_s1081" type="#_x0000_t202" style="position:absolute;margin-left:599.55pt;margin-top:-30.65pt;width:137.25pt;height:22.5pt;z-index:25165977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1081">
              <w:txbxContent>
                <w:p w:rsidR="00647DE8" w:rsidRPr="007F76E0" w:rsidRDefault="00647DE8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 xml:space="preserve">иаграмма </w:t>
                  </w:r>
                  <w:r w:rsidR="00AD7681">
                    <w:rPr>
                      <w:rFonts w:ascii="PT Astra Serif" w:hAnsi="PT Astra Serif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</w:p>
    <w:p w:rsidR="00727248" w:rsidRPr="00727248" w:rsidRDefault="00D95259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647DE8" w:rsidRPr="008B53EE" w:rsidRDefault="00647DE8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CFF" w:rsidRDefault="00DA4CFF" w:rsidP="008952FF">
      <w:pPr>
        <w:spacing w:after="0" w:line="240" w:lineRule="auto"/>
      </w:pPr>
      <w:r>
        <w:separator/>
      </w:r>
    </w:p>
  </w:endnote>
  <w:endnote w:type="continuationSeparator" w:id="0">
    <w:p w:rsidR="00DA4CFF" w:rsidRDefault="00DA4CFF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CFF" w:rsidRDefault="00DA4CFF" w:rsidP="008952FF">
      <w:pPr>
        <w:spacing w:after="0" w:line="240" w:lineRule="auto"/>
      </w:pPr>
      <w:r>
        <w:separator/>
      </w:r>
    </w:p>
  </w:footnote>
  <w:footnote w:type="continuationSeparator" w:id="0">
    <w:p w:rsidR="00DA4CFF" w:rsidRDefault="00DA4CFF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E8" w:rsidRPr="00F64629" w:rsidRDefault="00647DE8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D95259">
      <w:rPr>
        <w:rFonts w:ascii="Times New Roman" w:hAnsi="Times New Roman"/>
        <w:noProof/>
        <w:sz w:val="28"/>
        <w:szCs w:val="28"/>
      </w:rPr>
      <w:t>14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7"/>
  </w:num>
  <w:num w:numId="5">
    <w:abstractNumId w:val="24"/>
  </w:num>
  <w:num w:numId="6">
    <w:abstractNumId w:val="23"/>
  </w:num>
  <w:num w:numId="7">
    <w:abstractNumId w:val="13"/>
  </w:num>
  <w:num w:numId="8">
    <w:abstractNumId w:val="4"/>
  </w:num>
  <w:num w:numId="9">
    <w:abstractNumId w:val="11"/>
  </w:num>
  <w:num w:numId="10">
    <w:abstractNumId w:val="21"/>
  </w:num>
  <w:num w:numId="11">
    <w:abstractNumId w:val="5"/>
  </w:num>
  <w:num w:numId="12">
    <w:abstractNumId w:val="3"/>
  </w:num>
  <w:num w:numId="13">
    <w:abstractNumId w:val="0"/>
  </w:num>
  <w:num w:numId="14">
    <w:abstractNumId w:val="31"/>
  </w:num>
  <w:num w:numId="15">
    <w:abstractNumId w:val="6"/>
  </w:num>
  <w:num w:numId="16">
    <w:abstractNumId w:val="28"/>
  </w:num>
  <w:num w:numId="17">
    <w:abstractNumId w:val="8"/>
  </w:num>
  <w:num w:numId="18">
    <w:abstractNumId w:val="19"/>
  </w:num>
  <w:num w:numId="19">
    <w:abstractNumId w:val="22"/>
  </w:num>
  <w:num w:numId="20">
    <w:abstractNumId w:val="2"/>
  </w:num>
  <w:num w:numId="21">
    <w:abstractNumId w:val="29"/>
  </w:num>
  <w:num w:numId="22">
    <w:abstractNumId w:val="30"/>
  </w:num>
  <w:num w:numId="23">
    <w:abstractNumId w:val="1"/>
  </w:num>
  <w:num w:numId="24">
    <w:abstractNumId w:val="27"/>
  </w:num>
  <w:num w:numId="25">
    <w:abstractNumId w:val="18"/>
  </w:num>
  <w:num w:numId="26">
    <w:abstractNumId w:val="12"/>
  </w:num>
  <w:num w:numId="27">
    <w:abstractNumId w:val="14"/>
  </w:num>
  <w:num w:numId="28">
    <w:abstractNumId w:val="17"/>
  </w:num>
  <w:num w:numId="29">
    <w:abstractNumId w:val="16"/>
  </w:num>
  <w:num w:numId="30">
    <w:abstractNumId w:val="26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EA"/>
    <w:rsid w:val="000015EC"/>
    <w:rsid w:val="0001273A"/>
    <w:rsid w:val="00012BA0"/>
    <w:rsid w:val="00013CCE"/>
    <w:rsid w:val="00014AA7"/>
    <w:rsid w:val="0001502B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111C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8A7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0691"/>
    <w:rsid w:val="000B19FE"/>
    <w:rsid w:val="000B31F5"/>
    <w:rsid w:val="000B4EE7"/>
    <w:rsid w:val="000B72B6"/>
    <w:rsid w:val="000B76FC"/>
    <w:rsid w:val="000C3B63"/>
    <w:rsid w:val="000C3C6A"/>
    <w:rsid w:val="000C44A0"/>
    <w:rsid w:val="000D2292"/>
    <w:rsid w:val="000D277A"/>
    <w:rsid w:val="000D40CD"/>
    <w:rsid w:val="000D7F3F"/>
    <w:rsid w:val="000E08FE"/>
    <w:rsid w:val="000E6746"/>
    <w:rsid w:val="000E6E7E"/>
    <w:rsid w:val="000F0AD6"/>
    <w:rsid w:val="000F1080"/>
    <w:rsid w:val="000F2E9D"/>
    <w:rsid w:val="000F3F81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374D"/>
    <w:rsid w:val="001619B2"/>
    <w:rsid w:val="00161EB1"/>
    <w:rsid w:val="001630B0"/>
    <w:rsid w:val="00164CF2"/>
    <w:rsid w:val="00166664"/>
    <w:rsid w:val="0017734B"/>
    <w:rsid w:val="00186ED8"/>
    <w:rsid w:val="001A0161"/>
    <w:rsid w:val="001A687C"/>
    <w:rsid w:val="001B7927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57F3C"/>
    <w:rsid w:val="00262501"/>
    <w:rsid w:val="00264C27"/>
    <w:rsid w:val="00266187"/>
    <w:rsid w:val="002710F6"/>
    <w:rsid w:val="002721C8"/>
    <w:rsid w:val="002723FA"/>
    <w:rsid w:val="00283191"/>
    <w:rsid w:val="002834DD"/>
    <w:rsid w:val="0028362A"/>
    <w:rsid w:val="002A1E86"/>
    <w:rsid w:val="002A2D36"/>
    <w:rsid w:val="002A5A84"/>
    <w:rsid w:val="002B5673"/>
    <w:rsid w:val="002C0DB5"/>
    <w:rsid w:val="002C0F49"/>
    <w:rsid w:val="002C1357"/>
    <w:rsid w:val="002C3B2B"/>
    <w:rsid w:val="002C458E"/>
    <w:rsid w:val="002C4E3F"/>
    <w:rsid w:val="002D0AE4"/>
    <w:rsid w:val="002D4E74"/>
    <w:rsid w:val="002D727A"/>
    <w:rsid w:val="002D7BBA"/>
    <w:rsid w:val="002E24A8"/>
    <w:rsid w:val="002E44B0"/>
    <w:rsid w:val="002F19A8"/>
    <w:rsid w:val="002F3A58"/>
    <w:rsid w:val="002F65CD"/>
    <w:rsid w:val="002F7642"/>
    <w:rsid w:val="00300929"/>
    <w:rsid w:val="003035FA"/>
    <w:rsid w:val="00307844"/>
    <w:rsid w:val="00313804"/>
    <w:rsid w:val="00313E37"/>
    <w:rsid w:val="00315E00"/>
    <w:rsid w:val="003221D2"/>
    <w:rsid w:val="003225CF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35C9"/>
    <w:rsid w:val="00366DFF"/>
    <w:rsid w:val="0036782A"/>
    <w:rsid w:val="003708AE"/>
    <w:rsid w:val="00371DB0"/>
    <w:rsid w:val="003722B8"/>
    <w:rsid w:val="00376EEE"/>
    <w:rsid w:val="0038157C"/>
    <w:rsid w:val="003860B4"/>
    <w:rsid w:val="00395057"/>
    <w:rsid w:val="003971B5"/>
    <w:rsid w:val="003A7BB7"/>
    <w:rsid w:val="003B2E21"/>
    <w:rsid w:val="003B41D2"/>
    <w:rsid w:val="003B6D48"/>
    <w:rsid w:val="003B7283"/>
    <w:rsid w:val="003C27BB"/>
    <w:rsid w:val="003C77D6"/>
    <w:rsid w:val="003D1747"/>
    <w:rsid w:val="003D5C8A"/>
    <w:rsid w:val="003E0B6D"/>
    <w:rsid w:val="003E44A5"/>
    <w:rsid w:val="003E468B"/>
    <w:rsid w:val="003E5D0D"/>
    <w:rsid w:val="003E630B"/>
    <w:rsid w:val="003E79DE"/>
    <w:rsid w:val="003F2A7F"/>
    <w:rsid w:val="003F30CD"/>
    <w:rsid w:val="003F3BFD"/>
    <w:rsid w:val="004007EA"/>
    <w:rsid w:val="0040106C"/>
    <w:rsid w:val="00404FE6"/>
    <w:rsid w:val="00407247"/>
    <w:rsid w:val="004105F7"/>
    <w:rsid w:val="004159E6"/>
    <w:rsid w:val="004202DE"/>
    <w:rsid w:val="00421278"/>
    <w:rsid w:val="00422CFA"/>
    <w:rsid w:val="00423200"/>
    <w:rsid w:val="00424062"/>
    <w:rsid w:val="00430E6D"/>
    <w:rsid w:val="00431B01"/>
    <w:rsid w:val="00433037"/>
    <w:rsid w:val="00433442"/>
    <w:rsid w:val="0043570B"/>
    <w:rsid w:val="004360A8"/>
    <w:rsid w:val="00441851"/>
    <w:rsid w:val="00441C62"/>
    <w:rsid w:val="00442A69"/>
    <w:rsid w:val="00443EBA"/>
    <w:rsid w:val="00452BC1"/>
    <w:rsid w:val="0046198A"/>
    <w:rsid w:val="00461B5E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3DFF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D7B14"/>
    <w:rsid w:val="004E1390"/>
    <w:rsid w:val="004E1A30"/>
    <w:rsid w:val="004E51A4"/>
    <w:rsid w:val="004E7E55"/>
    <w:rsid w:val="004F292F"/>
    <w:rsid w:val="004F3A0B"/>
    <w:rsid w:val="004F5F56"/>
    <w:rsid w:val="004F6A21"/>
    <w:rsid w:val="005001FE"/>
    <w:rsid w:val="0050112C"/>
    <w:rsid w:val="00503C02"/>
    <w:rsid w:val="005070A9"/>
    <w:rsid w:val="005111BC"/>
    <w:rsid w:val="00511920"/>
    <w:rsid w:val="00511A08"/>
    <w:rsid w:val="00521F29"/>
    <w:rsid w:val="00523AA5"/>
    <w:rsid w:val="00542DEA"/>
    <w:rsid w:val="005445C3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B6C"/>
    <w:rsid w:val="00597D99"/>
    <w:rsid w:val="005A07CE"/>
    <w:rsid w:val="005A5B68"/>
    <w:rsid w:val="005A661C"/>
    <w:rsid w:val="005A6882"/>
    <w:rsid w:val="005C0BD3"/>
    <w:rsid w:val="005D47D0"/>
    <w:rsid w:val="005D5EFF"/>
    <w:rsid w:val="005D6C8B"/>
    <w:rsid w:val="005E032E"/>
    <w:rsid w:val="005E2293"/>
    <w:rsid w:val="005E7EDF"/>
    <w:rsid w:val="005F2D59"/>
    <w:rsid w:val="0060120C"/>
    <w:rsid w:val="00604586"/>
    <w:rsid w:val="00604912"/>
    <w:rsid w:val="00610F4A"/>
    <w:rsid w:val="006133C8"/>
    <w:rsid w:val="006134AA"/>
    <w:rsid w:val="006217FD"/>
    <w:rsid w:val="0062232F"/>
    <w:rsid w:val="006226C1"/>
    <w:rsid w:val="00626E6A"/>
    <w:rsid w:val="00630613"/>
    <w:rsid w:val="0063105D"/>
    <w:rsid w:val="0063764D"/>
    <w:rsid w:val="00637B45"/>
    <w:rsid w:val="0064225D"/>
    <w:rsid w:val="00647DE8"/>
    <w:rsid w:val="00653F5E"/>
    <w:rsid w:val="00657FBF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D01B5"/>
    <w:rsid w:val="006D71B5"/>
    <w:rsid w:val="006D7B5F"/>
    <w:rsid w:val="006E084E"/>
    <w:rsid w:val="006E7462"/>
    <w:rsid w:val="006E7CEA"/>
    <w:rsid w:val="006F2CC8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5D5E"/>
    <w:rsid w:val="00757A9B"/>
    <w:rsid w:val="00757E6D"/>
    <w:rsid w:val="007617AD"/>
    <w:rsid w:val="00763460"/>
    <w:rsid w:val="00766A1D"/>
    <w:rsid w:val="00767282"/>
    <w:rsid w:val="007716E6"/>
    <w:rsid w:val="007734E6"/>
    <w:rsid w:val="0078707E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B664D"/>
    <w:rsid w:val="007C1C1C"/>
    <w:rsid w:val="007C7B70"/>
    <w:rsid w:val="007D2001"/>
    <w:rsid w:val="007D7599"/>
    <w:rsid w:val="007E430A"/>
    <w:rsid w:val="007F2B11"/>
    <w:rsid w:val="007F3C63"/>
    <w:rsid w:val="007F4548"/>
    <w:rsid w:val="007F4FC2"/>
    <w:rsid w:val="007F76E0"/>
    <w:rsid w:val="00802B91"/>
    <w:rsid w:val="00803C08"/>
    <w:rsid w:val="00805AE8"/>
    <w:rsid w:val="00806706"/>
    <w:rsid w:val="0081000B"/>
    <w:rsid w:val="00814EF5"/>
    <w:rsid w:val="00817EB0"/>
    <w:rsid w:val="00823BF0"/>
    <w:rsid w:val="008264FE"/>
    <w:rsid w:val="008275DD"/>
    <w:rsid w:val="00831ADA"/>
    <w:rsid w:val="0083506F"/>
    <w:rsid w:val="0084632E"/>
    <w:rsid w:val="008516EF"/>
    <w:rsid w:val="00853844"/>
    <w:rsid w:val="00863C60"/>
    <w:rsid w:val="00864418"/>
    <w:rsid w:val="0086657D"/>
    <w:rsid w:val="0086763C"/>
    <w:rsid w:val="00881582"/>
    <w:rsid w:val="0088463E"/>
    <w:rsid w:val="008851F4"/>
    <w:rsid w:val="0088666A"/>
    <w:rsid w:val="0088708A"/>
    <w:rsid w:val="008907FE"/>
    <w:rsid w:val="00891001"/>
    <w:rsid w:val="00891846"/>
    <w:rsid w:val="00891A70"/>
    <w:rsid w:val="00894B67"/>
    <w:rsid w:val="008952FF"/>
    <w:rsid w:val="008A79A1"/>
    <w:rsid w:val="008B0BCA"/>
    <w:rsid w:val="008B1BF8"/>
    <w:rsid w:val="008B368C"/>
    <w:rsid w:val="008B53EE"/>
    <w:rsid w:val="008B6646"/>
    <w:rsid w:val="008C7764"/>
    <w:rsid w:val="008D0A97"/>
    <w:rsid w:val="008D6674"/>
    <w:rsid w:val="008E1B30"/>
    <w:rsid w:val="008E773D"/>
    <w:rsid w:val="008F11B7"/>
    <w:rsid w:val="008F7283"/>
    <w:rsid w:val="009024DE"/>
    <w:rsid w:val="00903D6B"/>
    <w:rsid w:val="00910E5F"/>
    <w:rsid w:val="009201C5"/>
    <w:rsid w:val="0092067E"/>
    <w:rsid w:val="009262A7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1C0E"/>
    <w:rsid w:val="009D2AE2"/>
    <w:rsid w:val="009D41B9"/>
    <w:rsid w:val="009D49FD"/>
    <w:rsid w:val="009E2405"/>
    <w:rsid w:val="009E2650"/>
    <w:rsid w:val="009F174A"/>
    <w:rsid w:val="009F47ED"/>
    <w:rsid w:val="00A01DD5"/>
    <w:rsid w:val="00A06845"/>
    <w:rsid w:val="00A13D50"/>
    <w:rsid w:val="00A260D4"/>
    <w:rsid w:val="00A43FE7"/>
    <w:rsid w:val="00A4413E"/>
    <w:rsid w:val="00A4496B"/>
    <w:rsid w:val="00A57121"/>
    <w:rsid w:val="00A60EFB"/>
    <w:rsid w:val="00A67D78"/>
    <w:rsid w:val="00A67ED7"/>
    <w:rsid w:val="00A701AC"/>
    <w:rsid w:val="00A70A61"/>
    <w:rsid w:val="00A72ACC"/>
    <w:rsid w:val="00A75AB0"/>
    <w:rsid w:val="00A80F0A"/>
    <w:rsid w:val="00A84C1B"/>
    <w:rsid w:val="00A85BDF"/>
    <w:rsid w:val="00A866E6"/>
    <w:rsid w:val="00A92FC3"/>
    <w:rsid w:val="00A95E27"/>
    <w:rsid w:val="00AA16E2"/>
    <w:rsid w:val="00AA433E"/>
    <w:rsid w:val="00AB25AF"/>
    <w:rsid w:val="00AB29CF"/>
    <w:rsid w:val="00AB659F"/>
    <w:rsid w:val="00AB6901"/>
    <w:rsid w:val="00AB74DE"/>
    <w:rsid w:val="00AC5B6A"/>
    <w:rsid w:val="00AC79C5"/>
    <w:rsid w:val="00AD17B7"/>
    <w:rsid w:val="00AD3339"/>
    <w:rsid w:val="00AD7681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2501"/>
    <w:rsid w:val="00B43A2E"/>
    <w:rsid w:val="00B44913"/>
    <w:rsid w:val="00B47A14"/>
    <w:rsid w:val="00B52CCB"/>
    <w:rsid w:val="00B60BA9"/>
    <w:rsid w:val="00B647F9"/>
    <w:rsid w:val="00B6739E"/>
    <w:rsid w:val="00B72A75"/>
    <w:rsid w:val="00B81C50"/>
    <w:rsid w:val="00B8482B"/>
    <w:rsid w:val="00B84918"/>
    <w:rsid w:val="00B872FA"/>
    <w:rsid w:val="00B905B1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B7E59"/>
    <w:rsid w:val="00BC6937"/>
    <w:rsid w:val="00BD50C1"/>
    <w:rsid w:val="00BD6A4D"/>
    <w:rsid w:val="00BD7F5C"/>
    <w:rsid w:val="00BE025F"/>
    <w:rsid w:val="00BE0457"/>
    <w:rsid w:val="00BE4689"/>
    <w:rsid w:val="00BE4A0A"/>
    <w:rsid w:val="00BE6763"/>
    <w:rsid w:val="00BE6E17"/>
    <w:rsid w:val="00BE7244"/>
    <w:rsid w:val="00BE73C8"/>
    <w:rsid w:val="00BE741D"/>
    <w:rsid w:val="00BE7C65"/>
    <w:rsid w:val="00BF1C6D"/>
    <w:rsid w:val="00C03F7F"/>
    <w:rsid w:val="00C0423F"/>
    <w:rsid w:val="00C04CD4"/>
    <w:rsid w:val="00C050C3"/>
    <w:rsid w:val="00C05E22"/>
    <w:rsid w:val="00C15405"/>
    <w:rsid w:val="00C20822"/>
    <w:rsid w:val="00C21717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B73"/>
    <w:rsid w:val="00C67DA6"/>
    <w:rsid w:val="00C7464C"/>
    <w:rsid w:val="00C75281"/>
    <w:rsid w:val="00C762D3"/>
    <w:rsid w:val="00C76742"/>
    <w:rsid w:val="00C77FE5"/>
    <w:rsid w:val="00C860B2"/>
    <w:rsid w:val="00C87AB2"/>
    <w:rsid w:val="00C90A86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D6F80"/>
    <w:rsid w:val="00CD79F5"/>
    <w:rsid w:val="00CE110B"/>
    <w:rsid w:val="00CE5C33"/>
    <w:rsid w:val="00CE6820"/>
    <w:rsid w:val="00CE78AB"/>
    <w:rsid w:val="00CE7F6F"/>
    <w:rsid w:val="00CF67CA"/>
    <w:rsid w:val="00D0244C"/>
    <w:rsid w:val="00D02B38"/>
    <w:rsid w:val="00D0333E"/>
    <w:rsid w:val="00D04553"/>
    <w:rsid w:val="00D06D30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159E"/>
    <w:rsid w:val="00D52FC5"/>
    <w:rsid w:val="00D54FDB"/>
    <w:rsid w:val="00D56140"/>
    <w:rsid w:val="00D6359F"/>
    <w:rsid w:val="00D63609"/>
    <w:rsid w:val="00D64206"/>
    <w:rsid w:val="00D64C2C"/>
    <w:rsid w:val="00D65408"/>
    <w:rsid w:val="00D67207"/>
    <w:rsid w:val="00D71402"/>
    <w:rsid w:val="00D71935"/>
    <w:rsid w:val="00D75E00"/>
    <w:rsid w:val="00D80BD7"/>
    <w:rsid w:val="00D81F87"/>
    <w:rsid w:val="00D92012"/>
    <w:rsid w:val="00D92D81"/>
    <w:rsid w:val="00D94869"/>
    <w:rsid w:val="00D95259"/>
    <w:rsid w:val="00DA3264"/>
    <w:rsid w:val="00DA4CFF"/>
    <w:rsid w:val="00DB0D26"/>
    <w:rsid w:val="00DB2713"/>
    <w:rsid w:val="00DD1CD4"/>
    <w:rsid w:val="00DD2590"/>
    <w:rsid w:val="00DD3497"/>
    <w:rsid w:val="00DD52EC"/>
    <w:rsid w:val="00DE10C1"/>
    <w:rsid w:val="00DE1428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60951"/>
    <w:rsid w:val="00E61395"/>
    <w:rsid w:val="00E63A3C"/>
    <w:rsid w:val="00E73264"/>
    <w:rsid w:val="00E7346B"/>
    <w:rsid w:val="00E73CB7"/>
    <w:rsid w:val="00E8483D"/>
    <w:rsid w:val="00E84D97"/>
    <w:rsid w:val="00E84DFA"/>
    <w:rsid w:val="00E91328"/>
    <w:rsid w:val="00E9395F"/>
    <w:rsid w:val="00E97DEA"/>
    <w:rsid w:val="00EA0670"/>
    <w:rsid w:val="00EA0A08"/>
    <w:rsid w:val="00EA28DB"/>
    <w:rsid w:val="00EA6692"/>
    <w:rsid w:val="00EA6875"/>
    <w:rsid w:val="00EB193F"/>
    <w:rsid w:val="00EB6339"/>
    <w:rsid w:val="00EC1285"/>
    <w:rsid w:val="00EC6B81"/>
    <w:rsid w:val="00ED2244"/>
    <w:rsid w:val="00ED3AB7"/>
    <w:rsid w:val="00EE009E"/>
    <w:rsid w:val="00EE182D"/>
    <w:rsid w:val="00EE74B3"/>
    <w:rsid w:val="00EF1361"/>
    <w:rsid w:val="00EF5D03"/>
    <w:rsid w:val="00F02A85"/>
    <w:rsid w:val="00F02F2C"/>
    <w:rsid w:val="00F054A2"/>
    <w:rsid w:val="00F1231A"/>
    <w:rsid w:val="00F13EE9"/>
    <w:rsid w:val="00F25DAA"/>
    <w:rsid w:val="00F27E21"/>
    <w:rsid w:val="00F30080"/>
    <w:rsid w:val="00F3058D"/>
    <w:rsid w:val="00F339CD"/>
    <w:rsid w:val="00F340E0"/>
    <w:rsid w:val="00F3774C"/>
    <w:rsid w:val="00F43C10"/>
    <w:rsid w:val="00F469F6"/>
    <w:rsid w:val="00F46C6E"/>
    <w:rsid w:val="00F4732B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58E9"/>
    <w:rsid w:val="00FA39B6"/>
    <w:rsid w:val="00FA4A2A"/>
    <w:rsid w:val="00FA6366"/>
    <w:rsid w:val="00FB138C"/>
    <w:rsid w:val="00FB14C2"/>
    <w:rsid w:val="00FB3DD7"/>
    <w:rsid w:val="00FB6CE1"/>
    <w:rsid w:val="00FC15E7"/>
    <w:rsid w:val="00FC2EE9"/>
    <w:rsid w:val="00FC7B35"/>
    <w:rsid w:val="00FD0700"/>
    <w:rsid w:val="00FD20C3"/>
    <w:rsid w:val="00FD34B4"/>
    <w:rsid w:val="00FE0D13"/>
    <w:rsid w:val="00FE41AF"/>
    <w:rsid w:val="00FF0C2A"/>
    <w:rsid w:val="00FF1AB9"/>
    <w:rsid w:val="00FF1CAB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Gaynutdinov\Desktop\&#1080;&#1102;&#1085;&#1100;\&#1085;&#1086;&#1074;&#1099;&#1081;%20&#1086;&#1090;&#1095;&#1077;&#1090;%20&#1080;&#1102;&#1085;&#1100;%202021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aynutdinov\Desktop\&#1080;&#1102;&#1085;&#1100;\&#1085;&#1086;&#1074;&#1099;&#1081;%20&#1086;&#1090;&#1095;&#1077;&#1090;%20&#1080;&#1102;&#1085;&#1100;%202021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75;&#1082;&#1091;\+&#1057;&#1052;&#1055;%20&#1080;&#1102;&#1085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90;&#1095;&#1077;&#1090;&#1072;%201%20&#1080;%200%20&#1079;&#1072;&#1103;&#1074;&#1086;&#1082;&#1080;&#1102;&#1085;&#1100;%20&#1085;&#1086;&#1074;&#1086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90;&#1095;&#1077;&#1090;&#1072;%201%20&#1080;%200%20&#1079;&#1072;&#1103;&#1074;&#1086;&#1082;&#1080;&#1102;&#1085;&#1100;%20&#1085;&#1086;&#1074;&#1086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90;&#1095;&#1077;&#1090;&#1072;%201%20&#1080;%200%20&#1079;&#1072;&#1103;&#1074;&#1086;&#1082;&#1080;&#1102;&#1085;&#1100;%20&#1085;&#1086;&#1074;&#1086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90;&#1095;&#1077;&#1090;&#1072;%201%20&#1080;%200%20&#1079;&#1072;&#1103;&#1074;&#1086;&#1082;&#1080;&#1102;&#1085;&#1100;%20&#1085;&#1086;&#1074;&#1086;&#1077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54;&#1058;&#1044;&#1045;&#1051;%20&#1052;&#1054;&#1053;&#1048;&#1058;&#1054;&#1056;&#1048;&#1053;&#1043;&#1040;%20&#1048;%20&#1054;&#1058;&#1063;&#1045;&#1058;&#1053;&#1054;&#1057;&#1058;&#1048;\!!!&#1054;&#1058;&#1063;&#1025;&#1058;%202021\&#1054;&#1090;&#1095;&#1105;&#1090;%20&#1040;&#1043;&#1047;\&#1048;&#1102;&#1085;&#1100;%202021\&#1052;&#1091;&#1085;&#1080;&#1094;&#1080;&#1087;&#1072;&#1083;&#1099;\&#1054;&#1058;&#1063;&#1025;&#1058;%20&#1052;&#1059;&#1053;&#1048;&#1062;&#1048;&#1055;&#1040;&#1051;&#1067;%20&#1048;&#1070;&#1053;&#1068;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0;&#1102;&#1085;&#1100;\&#1076;&#1083;&#1103;%20&#1086;&#1075;&#1082;&#1091;\+&#1057;&#1052;&#1055;%20&#1080;&#1102;&#1085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ГРБС по Показатели ГРБС по объему конкурентных закупок (через Уполномоченный орган) </a:t>
            </a:r>
          </a:p>
          <a:p>
            <a:pPr>
              <a:defRPr/>
            </a:pPr>
            <a:r>
              <a:rPr lang="ru-RU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МинЖКХ</c:v>
                </c:pt>
                <c:pt idx="5">
                  <c:v>Правительство</c:v>
                </c:pt>
                <c:pt idx="6">
                  <c:v>Минприроды</c:v>
                </c:pt>
                <c:pt idx="7">
                  <c:v>Минсоц</c:v>
                </c:pt>
                <c:pt idx="8">
                  <c:v>Минкульт</c:v>
                </c:pt>
                <c:pt idx="9">
                  <c:v>Минфин</c:v>
                </c:pt>
                <c:pt idx="10">
                  <c:v>АгРЧП</c:v>
                </c:pt>
                <c:pt idx="11">
                  <c:v>АгВет</c:v>
                </c:pt>
                <c:pt idx="12">
                  <c:v>Минспорт</c:v>
                </c:pt>
                <c:pt idx="13">
                  <c:v>АгСуд</c:v>
                </c:pt>
                <c:pt idx="14">
                  <c:v>ЗакСобр</c:v>
                </c:pt>
                <c:pt idx="15">
                  <c:v>Аг цен и тарифов</c:v>
                </c:pt>
                <c:pt idx="16">
                  <c:v>Минагр</c:v>
                </c:pt>
                <c:pt idx="17">
                  <c:v>Минэк</c:v>
                </c:pt>
                <c:pt idx="18">
                  <c:v>Аг Стройнадзор</c:v>
                </c:pt>
                <c:pt idx="19">
                  <c:v>АГЗ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ЗАГС</c:v>
                </c:pt>
              </c:strCache>
            </c:strRef>
          </c:cat>
          <c:val>
            <c:numRef>
              <c:f>'график агз'!$D$7:$D$29</c:f>
              <c:numCache>
                <c:formatCode>0</c:formatCode>
                <c:ptCount val="23"/>
                <c:pt idx="0">
                  <c:v>3770.4418490600005</c:v>
                </c:pt>
                <c:pt idx="1">
                  <c:v>2932.2439496300003</c:v>
                </c:pt>
                <c:pt idx="2">
                  <c:v>1570.78682731</c:v>
                </c:pt>
                <c:pt idx="3">
                  <c:v>541.68270700000005</c:v>
                </c:pt>
                <c:pt idx="4">
                  <c:v>222.25809165000001</c:v>
                </c:pt>
                <c:pt idx="5">
                  <c:v>183.65415368000004</c:v>
                </c:pt>
                <c:pt idx="6">
                  <c:v>86.890669450000004</c:v>
                </c:pt>
                <c:pt idx="7">
                  <c:v>98.308772980000001</c:v>
                </c:pt>
                <c:pt idx="8">
                  <c:v>54.30379263999999</c:v>
                </c:pt>
                <c:pt idx="9">
                  <c:v>64.593043120000004</c:v>
                </c:pt>
                <c:pt idx="10">
                  <c:v>20.896579290000002</c:v>
                </c:pt>
                <c:pt idx="11">
                  <c:v>17.414116170000003</c:v>
                </c:pt>
                <c:pt idx="12">
                  <c:v>17.776335170000003</c:v>
                </c:pt>
                <c:pt idx="13">
                  <c:v>12.253544600000001</c:v>
                </c:pt>
                <c:pt idx="14">
                  <c:v>11.367459630000001</c:v>
                </c:pt>
                <c:pt idx="15">
                  <c:v>3</c:v>
                </c:pt>
                <c:pt idx="16">
                  <c:v>3.2800295499999996</c:v>
                </c:pt>
                <c:pt idx="17">
                  <c:v>2.4100093299999994</c:v>
                </c:pt>
                <c:pt idx="18">
                  <c:v>0.93500000000000005</c:v>
                </c:pt>
                <c:pt idx="19">
                  <c:v>0.32671079999999997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4890880"/>
        <c:axId val="34892416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613598334897768E-2"/>
                  <c:y val="2.9060505968339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713764328732771E-2"/>
                  <c:y val="-2.9944773634785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239969782958687E-2"/>
                  <c:y val="2.9253573058303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120090251339485E-2"/>
                  <c:y val="-2.7399891059855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290500038729093E-2"/>
                  <c:y val="-2.8186775414197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07448317448842E-3"/>
                  <c:y val="-2.45169711240634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570776255707764E-2"/>
                  <c:y val="2.608321500796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808186752642535E-2"/>
                  <c:y val="-2.694271634858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716735226922997E-3"/>
                  <c:y val="-2.4427745576324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8082900302920007E-4"/>
                  <c:y val="-4.91794223792969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1327459278205833E-2"/>
                  <c:y val="-2.8796398347032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1.9833056676941681E-2"/>
                  <c:y val="2.374249336969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3222037784627789E-3"/>
                  <c:y val="1.9425676393384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3799668012330018E-2"/>
                  <c:y val="-2.3742493369692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222037784627789E-3"/>
                  <c:y val="-1.9425676393384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9833056676941681E-2"/>
                  <c:y val="2.3742493369692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3800813228201129E-2"/>
                  <c:y val="-2.5885436096237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6444075569256546E-3"/>
                  <c:y val="-1.9425676393384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4.7619047619047714E-2"/>
                  <c:y val="7.910732059352228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444075569255578E-3"/>
                  <c:y val="-1.942567639338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МинЖКХ</c:v>
                </c:pt>
                <c:pt idx="5">
                  <c:v>Правительство</c:v>
                </c:pt>
                <c:pt idx="6">
                  <c:v>Минприроды</c:v>
                </c:pt>
                <c:pt idx="7">
                  <c:v>Минсоц</c:v>
                </c:pt>
                <c:pt idx="8">
                  <c:v>Минкульт</c:v>
                </c:pt>
                <c:pt idx="9">
                  <c:v>Минфин</c:v>
                </c:pt>
                <c:pt idx="10">
                  <c:v>АгРЧП</c:v>
                </c:pt>
                <c:pt idx="11">
                  <c:v>АгВет</c:v>
                </c:pt>
                <c:pt idx="12">
                  <c:v>Минспорт</c:v>
                </c:pt>
                <c:pt idx="13">
                  <c:v>АгСуд</c:v>
                </c:pt>
                <c:pt idx="14">
                  <c:v>ЗакСобр</c:v>
                </c:pt>
                <c:pt idx="15">
                  <c:v>Аг цен и тарифов</c:v>
                </c:pt>
                <c:pt idx="16">
                  <c:v>Минагр</c:v>
                </c:pt>
                <c:pt idx="17">
                  <c:v>Минэк</c:v>
                </c:pt>
                <c:pt idx="18">
                  <c:v>Аг Стройнадзор</c:v>
                </c:pt>
                <c:pt idx="19">
                  <c:v>АГЗ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ЗАГС</c:v>
                </c:pt>
              </c:strCache>
            </c:strRef>
          </c:cat>
          <c:val>
            <c:numRef>
              <c:f>'график агз'!$E$7:$E$29</c:f>
              <c:numCache>
                <c:formatCode>0.00</c:formatCode>
                <c:ptCount val="23"/>
                <c:pt idx="0">
                  <c:v>2.8811824900511653</c:v>
                </c:pt>
                <c:pt idx="1">
                  <c:v>2.8285714285714287</c:v>
                </c:pt>
                <c:pt idx="2">
                  <c:v>1.7802197802197801</c:v>
                </c:pt>
                <c:pt idx="3">
                  <c:v>3.7539267015706805</c:v>
                </c:pt>
                <c:pt idx="4">
                  <c:v>4.6521739130434785</c:v>
                </c:pt>
                <c:pt idx="5">
                  <c:v>3.8807947019867548</c:v>
                </c:pt>
                <c:pt idx="6">
                  <c:v>2.0370370370370372</c:v>
                </c:pt>
                <c:pt idx="7">
                  <c:v>3.8085106382978724</c:v>
                </c:pt>
                <c:pt idx="8">
                  <c:v>3.5909090909090908</c:v>
                </c:pt>
                <c:pt idx="9">
                  <c:v>0.77777777777777779</c:v>
                </c:pt>
                <c:pt idx="10">
                  <c:v>6.4285714285714288</c:v>
                </c:pt>
                <c:pt idx="11">
                  <c:v>2.7692307692307692</c:v>
                </c:pt>
                <c:pt idx="12">
                  <c:v>3.8666666666666667</c:v>
                </c:pt>
                <c:pt idx="13">
                  <c:v>7.3076923076923075</c:v>
                </c:pt>
                <c:pt idx="14">
                  <c:v>2.75</c:v>
                </c:pt>
                <c:pt idx="15">
                  <c:v>1</c:v>
                </c:pt>
                <c:pt idx="16">
                  <c:v>4.5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906496"/>
        <c:axId val="34908032"/>
      </c:lineChart>
      <c:catAx>
        <c:axId val="3489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34892416"/>
        <c:crosses val="autoZero"/>
        <c:auto val="1"/>
        <c:lblAlgn val="ctr"/>
        <c:lblOffset val="100"/>
        <c:noMultiLvlLbl val="0"/>
      </c:catAx>
      <c:valAx>
        <c:axId val="3489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4890880"/>
        <c:crosses val="autoZero"/>
        <c:crossBetween val="between"/>
      </c:valAx>
      <c:catAx>
        <c:axId val="349064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4908032"/>
        <c:crosses val="autoZero"/>
        <c:auto val="1"/>
        <c:lblAlgn val="ctr"/>
        <c:lblOffset val="100"/>
        <c:noMultiLvlLbl val="0"/>
      </c:catAx>
      <c:valAx>
        <c:axId val="3490803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4906496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ГРБС по Показатели ГРБС по объему конкурентных закупок (через Уполномоченный орган) </a:t>
            </a:r>
          </a:p>
          <a:p>
            <a:pPr>
              <a:defRPr/>
            </a:pPr>
            <a:r>
              <a:rPr lang="ru-RU"/>
              <a:t>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АгРЧП</c:v>
                </c:pt>
                <c:pt idx="6">
                  <c:v>ЗАГС</c:v>
                </c:pt>
                <c:pt idx="7">
                  <c:v>Минкульт</c:v>
                </c:pt>
                <c:pt idx="8">
                  <c:v>Минтранс</c:v>
                </c:pt>
                <c:pt idx="9">
                  <c:v>Минагр</c:v>
                </c:pt>
                <c:pt idx="10">
                  <c:v>Минэк</c:v>
                </c:pt>
                <c:pt idx="11">
                  <c:v>МинЖКХ</c:v>
                </c:pt>
                <c:pt idx="12">
                  <c:v>Минфин</c:v>
                </c:pt>
                <c:pt idx="13">
                  <c:v>АгСуд</c:v>
                </c:pt>
                <c:pt idx="14">
                  <c:v>Аг Стройнадзор</c:v>
                </c:pt>
                <c:pt idx="15">
                  <c:v>Минприроды</c:v>
                </c:pt>
                <c:pt idx="16">
                  <c:v>Минспорт</c:v>
                </c:pt>
                <c:pt idx="17">
                  <c:v>МинМол</c:v>
                </c:pt>
                <c:pt idx="18">
                  <c:v>Счетная палата</c:v>
                </c:pt>
                <c:pt idx="19">
                  <c:v>ЗакСобр</c:v>
                </c:pt>
                <c:pt idx="20">
                  <c:v>АГЗ</c:v>
                </c:pt>
                <c:pt idx="21">
                  <c:v>АгВет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самост'!$D$7:$D$29</c:f>
              <c:numCache>
                <c:formatCode>0</c:formatCode>
                <c:ptCount val="23"/>
                <c:pt idx="0">
                  <c:v>454.75433831999999</c:v>
                </c:pt>
                <c:pt idx="1">
                  <c:v>201.06015068000002</c:v>
                </c:pt>
                <c:pt idx="2">
                  <c:v>28.829405139999995</c:v>
                </c:pt>
                <c:pt idx="3">
                  <c:v>21.6263325</c:v>
                </c:pt>
                <c:pt idx="4">
                  <c:v>11.63953594</c:v>
                </c:pt>
                <c:pt idx="5">
                  <c:v>6.7878009800000001</c:v>
                </c:pt>
                <c:pt idx="6">
                  <c:v>2.0394168499999998</c:v>
                </c:pt>
                <c:pt idx="7">
                  <c:v>0.63676275000000004</c:v>
                </c:pt>
                <c:pt idx="8">
                  <c:v>0.52176</c:v>
                </c:pt>
                <c:pt idx="9">
                  <c:v>0.36483082999999994</c:v>
                </c:pt>
                <c:pt idx="10">
                  <c:v>0.26075707999999997</c:v>
                </c:pt>
                <c:pt idx="11">
                  <c:v>0.17687920999999998</c:v>
                </c:pt>
                <c:pt idx="12">
                  <c:v>0.1531902</c:v>
                </c:pt>
                <c:pt idx="13">
                  <c:v>0.14663446999999999</c:v>
                </c:pt>
                <c:pt idx="14">
                  <c:v>0.13176944000000002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8758272"/>
        <c:axId val="38759808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9398956549200776E-2"/>
                  <c:y val="2.9126628536476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652224540955847E-2"/>
                  <c:y val="2.83317484192167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981266001001577E-2"/>
                  <c:y val="-3.14870966854830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9956425398724244E-3"/>
                  <c:y val="2.9119271779110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850299140061454E-2"/>
                  <c:y val="-2.795497734556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893677394179732E-2"/>
                  <c:y val="-2.63913160836056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943517887035773E-2"/>
                  <c:y val="1.050166725820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39801428952608E-2"/>
                  <c:y val="2.49246939545146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6827000999717058E-4"/>
                  <c:y val="1.58457547218558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3108479550287625E-4"/>
                  <c:y val="1.8505733527883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893588934618258E-2"/>
                  <c:y val="-2.6109131890369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3623663263384831E-2"/>
                  <c:y val="-3.114360618086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АгРЧП</c:v>
                </c:pt>
                <c:pt idx="6">
                  <c:v>ЗАГС</c:v>
                </c:pt>
                <c:pt idx="7">
                  <c:v>Минкульт</c:v>
                </c:pt>
                <c:pt idx="8">
                  <c:v>Минтранс</c:v>
                </c:pt>
                <c:pt idx="9">
                  <c:v>Минагр</c:v>
                </c:pt>
                <c:pt idx="10">
                  <c:v>Минэк</c:v>
                </c:pt>
                <c:pt idx="11">
                  <c:v>МинЖКХ</c:v>
                </c:pt>
                <c:pt idx="12">
                  <c:v>Минфин</c:v>
                </c:pt>
                <c:pt idx="13">
                  <c:v>АгСуд</c:v>
                </c:pt>
                <c:pt idx="14">
                  <c:v>Аг Стройнадзор</c:v>
                </c:pt>
                <c:pt idx="15">
                  <c:v>Минприроды</c:v>
                </c:pt>
                <c:pt idx="16">
                  <c:v>Минспорт</c:v>
                </c:pt>
                <c:pt idx="17">
                  <c:v>МинМол</c:v>
                </c:pt>
                <c:pt idx="18">
                  <c:v>Счетная палата</c:v>
                </c:pt>
                <c:pt idx="19">
                  <c:v>ЗакСобр</c:v>
                </c:pt>
                <c:pt idx="20">
                  <c:v>АГЗ</c:v>
                </c:pt>
                <c:pt idx="21">
                  <c:v>АгВет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самост'!$E$7:$E$29</c:f>
              <c:numCache>
                <c:formatCode>0.00</c:formatCode>
                <c:ptCount val="23"/>
                <c:pt idx="0">
                  <c:v>2</c:v>
                </c:pt>
                <c:pt idx="1">
                  <c:v>2.5762637362637362</c:v>
                </c:pt>
                <c:pt idx="2">
                  <c:v>2.7018469656992083</c:v>
                </c:pt>
                <c:pt idx="3">
                  <c:v>2.7759740259740258</c:v>
                </c:pt>
                <c:pt idx="4">
                  <c:v>3.6666666666666665</c:v>
                </c:pt>
                <c:pt idx="5">
                  <c:v>4.1931818181818183</c:v>
                </c:pt>
                <c:pt idx="6">
                  <c:v>2.6111111111111112</c:v>
                </c:pt>
                <c:pt idx="7">
                  <c:v>2.25</c:v>
                </c:pt>
                <c:pt idx="8">
                  <c:v>1.3333333333333333</c:v>
                </c:pt>
                <c:pt idx="9">
                  <c:v>2.75</c:v>
                </c:pt>
                <c:pt idx="10">
                  <c:v>6.333333333333333</c:v>
                </c:pt>
                <c:pt idx="11">
                  <c:v>0.66666666666666663</c:v>
                </c:pt>
                <c:pt idx="12">
                  <c:v>2</c:v>
                </c:pt>
                <c:pt idx="13">
                  <c:v>9</c:v>
                </c:pt>
                <c:pt idx="14">
                  <c:v>4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94368"/>
        <c:axId val="38795904"/>
      </c:lineChart>
      <c:catAx>
        <c:axId val="387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38759808"/>
        <c:crosses val="autoZero"/>
        <c:auto val="1"/>
        <c:lblAlgn val="ctr"/>
        <c:lblOffset val="100"/>
        <c:noMultiLvlLbl val="0"/>
      </c:catAx>
      <c:valAx>
        <c:axId val="38759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8758272"/>
        <c:crosses val="autoZero"/>
        <c:crossBetween val="between"/>
      </c:valAx>
      <c:catAx>
        <c:axId val="38794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8795904"/>
        <c:crosses val="autoZero"/>
        <c:auto val="1"/>
        <c:lblAlgn val="ctr"/>
        <c:lblOffset val="100"/>
        <c:noMultiLvlLbl val="0"/>
      </c:catAx>
      <c:valAx>
        <c:axId val="38795904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879436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Минкульт</c:v>
                </c:pt>
                <c:pt idx="3">
                  <c:v>Минсоц</c:v>
                </c:pt>
                <c:pt idx="4">
                  <c:v>Прочие</c:v>
                </c:pt>
                <c:pt idx="5">
                  <c:v>Правительство</c:v>
                </c:pt>
                <c:pt idx="6">
                  <c:v>Минпросвещения</c:v>
                </c:pt>
                <c:pt idx="7">
                  <c:v>Минэнерго</c:v>
                </c:pt>
                <c:pt idx="8">
                  <c:v>Минздрав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Минтранс</c:v>
                </c:pt>
                <c:pt idx="12">
                  <c:v>Минстрой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100</c:v>
                </c:pt>
                <c:pt idx="1">
                  <c:v>78.230653377132498</c:v>
                </c:pt>
                <c:pt idx="2">
                  <c:v>76.219072473413533</c:v>
                </c:pt>
                <c:pt idx="3">
                  <c:v>73.913528816450409</c:v>
                </c:pt>
                <c:pt idx="4">
                  <c:v>64.39504437073407</c:v>
                </c:pt>
                <c:pt idx="5">
                  <c:v>51.261279616762245</c:v>
                </c:pt>
                <c:pt idx="6">
                  <c:v>44.507653291975899</c:v>
                </c:pt>
                <c:pt idx="7">
                  <c:v>39.623368487985054</c:v>
                </c:pt>
                <c:pt idx="8">
                  <c:v>37.754896151837833</c:v>
                </c:pt>
                <c:pt idx="9">
                  <c:v>27.824410668066268</c:v>
                </c:pt>
                <c:pt idx="10">
                  <c:v>6.452931801222503</c:v>
                </c:pt>
                <c:pt idx="11">
                  <c:v>4.6506915060462699</c:v>
                </c:pt>
                <c:pt idx="12">
                  <c:v>4.4403468636504275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86880"/>
        <c:axId val="38988416"/>
      </c:barChart>
      <c:lineChart>
        <c:grouping val="standard"/>
        <c:varyColors val="0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Минкульт</c:v>
                </c:pt>
                <c:pt idx="3">
                  <c:v>Минсоц</c:v>
                </c:pt>
                <c:pt idx="4">
                  <c:v>Прочие</c:v>
                </c:pt>
                <c:pt idx="5">
                  <c:v>Правительство</c:v>
                </c:pt>
                <c:pt idx="6">
                  <c:v>Минпросвещения</c:v>
                </c:pt>
                <c:pt idx="7">
                  <c:v>Минэнерго</c:v>
                </c:pt>
                <c:pt idx="8">
                  <c:v>Минздрав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Минтранс</c:v>
                </c:pt>
                <c:pt idx="12">
                  <c:v>Минстрой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707200"/>
        <c:axId val="84705664"/>
      </c:lineChart>
      <c:catAx>
        <c:axId val="3898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988416"/>
        <c:crosses val="autoZero"/>
        <c:auto val="1"/>
        <c:lblAlgn val="ctr"/>
        <c:lblOffset val="100"/>
        <c:noMultiLvlLbl val="0"/>
      </c:catAx>
      <c:valAx>
        <c:axId val="38988416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38986880"/>
        <c:crosses val="autoZero"/>
        <c:crossBetween val="between"/>
        <c:majorUnit val="15"/>
      </c:valAx>
      <c:valAx>
        <c:axId val="84705664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84707200"/>
        <c:crosses val="max"/>
        <c:crossBetween val="between"/>
        <c:majorUnit val="15"/>
        <c:minorUnit val="3"/>
      </c:valAx>
      <c:catAx>
        <c:axId val="847072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4705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стоимостном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6657474075645456"/>
          <c:y val="0.23009196720294103"/>
          <c:w val="0.46977525294831374"/>
          <c:h val="0.47068567010519036"/>
        </c:manualLayout>
      </c:layout>
      <c:doughnut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0.15847860538827266"/>
                  <c:y val="6.1255732877414898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213946117274169"/>
                  <c:y val="-5.308830182709291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847860538827258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0.78744833919401602</c:v>
                </c:pt>
                <c:pt idx="1">
                  <c:v>0.20365658486677454</c:v>
                </c:pt>
                <c:pt idx="2">
                  <c:v>8.8950759392090809E-3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5187641164505781"/>
          <c:y val="0.73514275158179665"/>
          <c:w val="0.22715610139364828"/>
          <c:h val="0.215076573829030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количественном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547173321362566"/>
          <c:y val="0.21790717221251077"/>
          <c:w val="0.56283736084713554"/>
          <c:h val="0.51307767275652427"/>
        </c:manualLayout>
      </c:layout>
      <c:doughnut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381099126861838"/>
                  <c:y val="4.826545238727134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212121212121212"/>
                  <c:y val="-3.619908929045351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504879301489471"/>
                  <c:y val="0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0.79636363636363638</c:v>
                </c:pt>
                <c:pt idx="1">
                  <c:v>0.16848484848484849</c:v>
                </c:pt>
                <c:pt idx="2">
                  <c:v>3.5151515151515149E-2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4437701450646865"/>
          <c:y val="0.71061092534753345"/>
          <c:w val="0.22645604584480869"/>
          <c:h val="0.221392108619095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стоимостном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2151487136982373E-2"/>
          <c:y val="0.27865896762904635"/>
          <c:w val="0.64763322600869222"/>
          <c:h val="0.60939202599675035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13"/>
          </c:dPt>
          <c:dPt>
            <c:idx val="1"/>
            <c:bubble3D val="0"/>
            <c:explosion val="2"/>
          </c:dPt>
          <c:dPt>
            <c:idx val="2"/>
            <c:bubble3D val="0"/>
            <c:explosion val="13"/>
          </c:dPt>
          <c:dLbls>
            <c:dLbl>
              <c:idx val="0"/>
              <c:layout>
                <c:manualLayout>
                  <c:x val="0.11666666666666667"/>
                  <c:y val="9.7222222222222224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000000000000002"/>
                  <c:y val="-6.9444444444444448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8.6399709201319286E-2"/>
                  <c:y val="-7.8488372093023256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0.6776127949920554</c:v>
                </c:pt>
                <c:pt idx="1">
                  <c:v>0.27761140762719438</c:v>
                </c:pt>
                <c:pt idx="2">
                  <c:v>4.477579738075034E-2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В количественном выражении</a:t>
            </a:r>
            <a:endParaRPr lang="ru-RU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424620451855283"/>
          <c:y val="0.32661697287839014"/>
          <c:w val="0.53134414080592862"/>
          <c:h val="0.51616287964004504"/>
        </c:manualLayout>
      </c:layout>
      <c:doughnutChart>
        <c:varyColors val="1"/>
        <c:ser>
          <c:idx val="0"/>
          <c:order val="0"/>
          <c:explosion val="4"/>
          <c:dPt>
            <c:idx val="1"/>
            <c:bubble3D val="0"/>
            <c:explosion val="18"/>
          </c:dPt>
          <c:dPt>
            <c:idx val="2"/>
            <c:bubble3D val="0"/>
            <c:explosion val="20"/>
          </c:dPt>
          <c:dLbls>
            <c:dLbl>
              <c:idx val="0"/>
              <c:layout>
                <c:manualLayout>
                  <c:x val="0.12659929974828607"/>
                  <c:y val="8.247422680412371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505048276985439"/>
                  <c:y val="-0.11454753722794959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121209550367819"/>
                  <c:y val="-6.41466208476517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</c:dLbl>
            <c:showLegendKey val="1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0.64569842738205363</c:v>
                </c:pt>
                <c:pt idx="1">
                  <c:v>0.31544865864939869</c:v>
                </c:pt>
                <c:pt idx="2">
                  <c:v>3.8852913968547641E-2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Показатели муниципальных образований Ульяновской области </a:t>
            </a:r>
          </a:p>
          <a:p>
            <a:pPr>
              <a:defRPr/>
            </a:pPr>
            <a:r>
              <a:rPr lang="ru-RU"/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'[ОТЧЁТ МУНИЦИПАЛЫ ИЮНЬ 2021.xlsx]График'!$C$3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4323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'[ОТЧЁТ МУНИЦИПАЛЫ ИЮНЬ 2021.xlsx]График'!$B$4:$B$27</c:f>
              <c:strCache>
                <c:ptCount val="24"/>
                <c:pt idx="0">
                  <c:v>Ульяновск </c:v>
                </c:pt>
                <c:pt idx="1">
                  <c:v>Чердаклинский район</c:v>
                </c:pt>
                <c:pt idx="2">
                  <c:v>Димитровград </c:v>
                </c:pt>
                <c:pt idx="3">
                  <c:v>Барышский район</c:v>
                </c:pt>
                <c:pt idx="4">
                  <c:v>Карсунский район</c:v>
                </c:pt>
                <c:pt idx="5">
                  <c:v>Новоульяновск </c:v>
                </c:pt>
                <c:pt idx="6">
                  <c:v>Мелекесский район</c:v>
                </c:pt>
                <c:pt idx="7">
                  <c:v>Инзенский район</c:v>
                </c:pt>
                <c:pt idx="8">
                  <c:v>Ульяновский район</c:v>
                </c:pt>
                <c:pt idx="9">
                  <c:v>Сенгилеевский район</c:v>
                </c:pt>
                <c:pt idx="10">
                  <c:v>Старомайнский район</c:v>
                </c:pt>
                <c:pt idx="11">
                  <c:v>Сурский район</c:v>
                </c:pt>
                <c:pt idx="12">
                  <c:v>Майнский район</c:v>
                </c:pt>
                <c:pt idx="13">
                  <c:v>Новоспасский район</c:v>
                </c:pt>
                <c:pt idx="14">
                  <c:v>Радищевский район</c:v>
                </c:pt>
                <c:pt idx="15">
                  <c:v>Николаевский район </c:v>
                </c:pt>
                <c:pt idx="16">
                  <c:v>Цильнинский район</c:v>
                </c:pt>
                <c:pt idx="17">
                  <c:v>Кузоватовский район </c:v>
                </c:pt>
                <c:pt idx="18">
                  <c:v>Тереньгульский район</c:v>
                </c:pt>
                <c:pt idx="19">
                  <c:v>Вешкаймский район </c:v>
                </c:pt>
                <c:pt idx="20">
                  <c:v>Павловский район</c:v>
                </c:pt>
                <c:pt idx="21">
                  <c:v>Новомалыклинский район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'[ОТЧЁТ МУНИЦИПАЛЫ ИЮНЬ 2021.xlsx]График'!$C$4:$C$27</c:f>
              <c:numCache>
                <c:formatCode>0</c:formatCode>
                <c:ptCount val="24"/>
                <c:pt idx="0">
                  <c:v>1296.884448</c:v>
                </c:pt>
                <c:pt idx="1">
                  <c:v>366.01668000000001</c:v>
                </c:pt>
                <c:pt idx="2">
                  <c:v>316.08952999999997</c:v>
                </c:pt>
                <c:pt idx="3">
                  <c:v>293.16639000000004</c:v>
                </c:pt>
                <c:pt idx="4">
                  <c:v>288.27303999999998</c:v>
                </c:pt>
                <c:pt idx="5">
                  <c:v>279.17478000000006</c:v>
                </c:pt>
                <c:pt idx="6">
                  <c:v>271.76706000000001</c:v>
                </c:pt>
                <c:pt idx="7">
                  <c:v>236.54126000000002</c:v>
                </c:pt>
                <c:pt idx="8">
                  <c:v>213.54083</c:v>
                </c:pt>
                <c:pt idx="9">
                  <c:v>207.53694000000002</c:v>
                </c:pt>
                <c:pt idx="10">
                  <c:v>187.41654</c:v>
                </c:pt>
                <c:pt idx="11">
                  <c:v>186.26617000000002</c:v>
                </c:pt>
                <c:pt idx="12">
                  <c:v>180.55482999999998</c:v>
                </c:pt>
                <c:pt idx="13">
                  <c:v>174.47846999999999</c:v>
                </c:pt>
                <c:pt idx="14">
                  <c:v>166.31780000000001</c:v>
                </c:pt>
                <c:pt idx="15">
                  <c:v>158.41295000000002</c:v>
                </c:pt>
                <c:pt idx="16">
                  <c:v>140.87810999999999</c:v>
                </c:pt>
                <c:pt idx="17">
                  <c:v>130.34339</c:v>
                </c:pt>
                <c:pt idx="18">
                  <c:v>116.61378000000001</c:v>
                </c:pt>
                <c:pt idx="19">
                  <c:v>96.921521999999996</c:v>
                </c:pt>
                <c:pt idx="20">
                  <c:v>93.044730000000001</c:v>
                </c:pt>
                <c:pt idx="21">
                  <c:v>92.231339999999989</c:v>
                </c:pt>
                <c:pt idx="22">
                  <c:v>86.093389999999999</c:v>
                </c:pt>
                <c:pt idx="23">
                  <c:v>65.812069999999991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85590784"/>
        <c:axId val="85592320"/>
      </c:barChart>
      <c:lineChart>
        <c:grouping val="standard"/>
        <c:varyColors val="0"/>
        <c:ser>
          <c:idx val="1"/>
          <c:order val="1"/>
          <c:tx>
            <c:strRef>
              <c:f>'[ОТЧЁТ МУНИЦИПАЛЫ ИЮНЬ 2021.xlsx]График'!$D$3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3374056851775411E-2"/>
                  <c:y val="2.9066074020639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950094425400202E-2"/>
                  <c:y val="2.798367692294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366325575625104E-2"/>
                  <c:y val="-2.5848205417477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2486941967414154E-2"/>
                  <c:y val="3.23115703605572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19167658136034E-2"/>
                  <c:y val="2.8660810716443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30345943672603E-2"/>
                  <c:y val="-2.799503310921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002158359646667E-2"/>
                  <c:y val="2.5980096591318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6978346692723579E-3"/>
                  <c:y val="2.13125107205788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9149294236879805E-2"/>
                  <c:y val="-2.83082604559966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3553900495377638E-3"/>
                  <c:y val="-1.2891305364797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200097436312282E-2"/>
                  <c:y val="2.5182427810249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1657250771885947E-2"/>
                  <c:y val="-2.798367692294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366432156583628E-2"/>
                  <c:y val="2.799503310921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0376041069480235E-2"/>
                  <c:y val="-2.7336374305323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1.9185531762777645E-2"/>
                  <c:y val="2.8652335950567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935943351794222E-2"/>
                  <c:y val="-2.9501846481989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416566027596581E-2"/>
                  <c:y val="3.02925421382308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1.1027505454546905E-2"/>
                  <c:y val="-2.3457812954459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1.8970238226561062E-2"/>
                  <c:y val="2.4342748007243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4.0427223377381182E-3"/>
                  <c:y val="2.7030435257195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72629274442666E-3"/>
                  <c:y val="2.15470922400297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3101209597956276E-2"/>
                  <c:y val="-2.51624273627816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7596516252157333E-2"/>
                  <c:y val="2.7983676922941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'[ОТЧЁТ МУНИЦИПАЛЫ ИЮНЬ 2021.xlsx]График'!$B$4:$B$27</c:f>
              <c:strCache>
                <c:ptCount val="24"/>
                <c:pt idx="0">
                  <c:v>Ульяновск </c:v>
                </c:pt>
                <c:pt idx="1">
                  <c:v>Чердаклинский район</c:v>
                </c:pt>
                <c:pt idx="2">
                  <c:v>Димитровград </c:v>
                </c:pt>
                <c:pt idx="3">
                  <c:v>Барышский район</c:v>
                </c:pt>
                <c:pt idx="4">
                  <c:v>Карсунский район</c:v>
                </c:pt>
                <c:pt idx="5">
                  <c:v>Новоульяновск </c:v>
                </c:pt>
                <c:pt idx="6">
                  <c:v>Мелекесский район</c:v>
                </c:pt>
                <c:pt idx="7">
                  <c:v>Инзенский район</c:v>
                </c:pt>
                <c:pt idx="8">
                  <c:v>Ульяновский район</c:v>
                </c:pt>
                <c:pt idx="9">
                  <c:v>Сенгилеевский район</c:v>
                </c:pt>
                <c:pt idx="10">
                  <c:v>Старомайнский район</c:v>
                </c:pt>
                <c:pt idx="11">
                  <c:v>Сурский район</c:v>
                </c:pt>
                <c:pt idx="12">
                  <c:v>Майнский район</c:v>
                </c:pt>
                <c:pt idx="13">
                  <c:v>Новоспасский район</c:v>
                </c:pt>
                <c:pt idx="14">
                  <c:v>Радищевский район</c:v>
                </c:pt>
                <c:pt idx="15">
                  <c:v>Николаевский район </c:v>
                </c:pt>
                <c:pt idx="16">
                  <c:v>Цильнинский район</c:v>
                </c:pt>
                <c:pt idx="17">
                  <c:v>Кузоватовский район </c:v>
                </c:pt>
                <c:pt idx="18">
                  <c:v>Тереньгульский район</c:v>
                </c:pt>
                <c:pt idx="19">
                  <c:v>Вешкаймский район </c:v>
                </c:pt>
                <c:pt idx="20">
                  <c:v>Павловский район</c:v>
                </c:pt>
                <c:pt idx="21">
                  <c:v>Новомалыклинский район</c:v>
                </c:pt>
                <c:pt idx="22">
                  <c:v>Старокулаткинский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'[ОТЧЁТ МУНИЦИПАЛЫ ИЮНЬ 2021.xlsx]График'!$D$4:$D$27</c:f>
              <c:numCache>
                <c:formatCode>0.00</c:formatCode>
                <c:ptCount val="24"/>
                <c:pt idx="0">
                  <c:v>3.6108786610878663</c:v>
                </c:pt>
                <c:pt idx="1">
                  <c:v>7.4387755102040813</c:v>
                </c:pt>
                <c:pt idx="2">
                  <c:v>3.4746835443037973</c:v>
                </c:pt>
                <c:pt idx="3">
                  <c:v>5.4761904761904763</c:v>
                </c:pt>
                <c:pt idx="4">
                  <c:v>5.0983606557377046</c:v>
                </c:pt>
                <c:pt idx="5">
                  <c:v>5.083333333333333</c:v>
                </c:pt>
                <c:pt idx="6">
                  <c:v>5.21505376344086</c:v>
                </c:pt>
                <c:pt idx="7">
                  <c:v>4.0363636363636362</c:v>
                </c:pt>
                <c:pt idx="8">
                  <c:v>4.3499999999999996</c:v>
                </c:pt>
                <c:pt idx="9">
                  <c:v>6.3125</c:v>
                </c:pt>
                <c:pt idx="10">
                  <c:v>4.198198198198198</c:v>
                </c:pt>
                <c:pt idx="11">
                  <c:v>2.4057971014492754</c:v>
                </c:pt>
                <c:pt idx="12">
                  <c:v>6.1875</c:v>
                </c:pt>
                <c:pt idx="13">
                  <c:v>3.9375</c:v>
                </c:pt>
                <c:pt idx="14">
                  <c:v>4.95</c:v>
                </c:pt>
                <c:pt idx="15">
                  <c:v>3.2804878048780486</c:v>
                </c:pt>
                <c:pt idx="16">
                  <c:v>5.2906976744186043</c:v>
                </c:pt>
                <c:pt idx="17">
                  <c:v>4.9315068493150687</c:v>
                </c:pt>
                <c:pt idx="18">
                  <c:v>4.7692307692307692</c:v>
                </c:pt>
                <c:pt idx="19">
                  <c:v>3.0090090090090089</c:v>
                </c:pt>
                <c:pt idx="20">
                  <c:v>3.6666666666666665</c:v>
                </c:pt>
                <c:pt idx="21">
                  <c:v>5.15</c:v>
                </c:pt>
                <c:pt idx="22">
                  <c:v>6.2702702702702702</c:v>
                </c:pt>
                <c:pt idx="23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635072"/>
        <c:axId val="85636608"/>
      </c:lineChart>
      <c:catAx>
        <c:axId val="8559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85592320"/>
        <c:crosses val="autoZero"/>
        <c:auto val="1"/>
        <c:lblAlgn val="ctr"/>
        <c:lblOffset val="100"/>
        <c:noMultiLvlLbl val="0"/>
      </c:catAx>
      <c:valAx>
        <c:axId val="85592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5590784"/>
        <c:crosses val="autoZero"/>
        <c:crossBetween val="between"/>
      </c:valAx>
      <c:catAx>
        <c:axId val="85635072"/>
        <c:scaling>
          <c:orientation val="minMax"/>
        </c:scaling>
        <c:delete val="1"/>
        <c:axPos val="b"/>
        <c:majorTickMark val="out"/>
        <c:minorTickMark val="none"/>
        <c:tickLblPos val="nextTo"/>
        <c:crossAx val="85636608"/>
        <c:crosses val="autoZero"/>
        <c:auto val="1"/>
        <c:lblAlgn val="ctr"/>
        <c:lblOffset val="100"/>
        <c:noMultiLvlLbl val="0"/>
      </c:catAx>
      <c:valAx>
        <c:axId val="8563660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8563507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муниципальных 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Кузоватовский район </c:v>
                </c:pt>
                <c:pt idx="2">
                  <c:v>Тереньгульский район</c:v>
                </c:pt>
                <c:pt idx="3">
                  <c:v>Цильнинский район</c:v>
                </c:pt>
                <c:pt idx="4">
                  <c:v>Димитровград </c:v>
                </c:pt>
                <c:pt idx="5">
                  <c:v>Инзенский район</c:v>
                </c:pt>
                <c:pt idx="6">
                  <c:v>Мелекесский район</c:v>
                </c:pt>
                <c:pt idx="7">
                  <c:v>Ульяновский район</c:v>
                </c:pt>
                <c:pt idx="8">
                  <c:v>Сенгилеевский район</c:v>
                </c:pt>
                <c:pt idx="9">
                  <c:v>Сурский район</c:v>
                </c:pt>
                <c:pt idx="10">
                  <c:v>Новомалыклинский район</c:v>
                </c:pt>
                <c:pt idx="11">
                  <c:v>Павловский район</c:v>
                </c:pt>
                <c:pt idx="12">
                  <c:v>Николаевский район </c:v>
                </c:pt>
                <c:pt idx="13">
                  <c:v>Старомайнский район</c:v>
                </c:pt>
                <c:pt idx="14">
                  <c:v>Вешкаймский район </c:v>
                </c:pt>
                <c:pt idx="15">
                  <c:v>Новоспасский район</c:v>
                </c:pt>
                <c:pt idx="16">
                  <c:v>Чердаклинский район</c:v>
                </c:pt>
                <c:pt idx="17">
                  <c:v>Карсунский район</c:v>
                </c:pt>
                <c:pt idx="18">
                  <c:v>Старокулаткинский район</c:v>
                </c:pt>
                <c:pt idx="19">
                  <c:v>Радищевский район</c:v>
                </c:pt>
                <c:pt idx="20">
                  <c:v>Майнский район</c:v>
                </c:pt>
                <c:pt idx="21">
                  <c:v>Барышский район</c:v>
                </c:pt>
                <c:pt idx="22">
                  <c:v>Новоульяновск </c:v>
                </c:pt>
                <c:pt idx="23">
                  <c:v>Ульяновск 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97.723103430431834</c:v>
                </c:pt>
                <c:pt idx="1">
                  <c:v>92.559056148349455</c:v>
                </c:pt>
                <c:pt idx="2">
                  <c:v>90.662607843965375</c:v>
                </c:pt>
                <c:pt idx="3">
                  <c:v>90.27293586295211</c:v>
                </c:pt>
                <c:pt idx="4">
                  <c:v>84.222114731374518</c:v>
                </c:pt>
                <c:pt idx="5">
                  <c:v>81.047371976330311</c:v>
                </c:pt>
                <c:pt idx="6">
                  <c:v>78.518517528824276</c:v>
                </c:pt>
                <c:pt idx="7">
                  <c:v>77.162152517409467</c:v>
                </c:pt>
                <c:pt idx="8">
                  <c:v>57.628790688194584</c:v>
                </c:pt>
                <c:pt idx="9">
                  <c:v>50.307756168493</c:v>
                </c:pt>
                <c:pt idx="10">
                  <c:v>49.405025340450791</c:v>
                </c:pt>
                <c:pt idx="11">
                  <c:v>49.200156252890146</c:v>
                </c:pt>
                <c:pt idx="12">
                  <c:v>47.243179505596459</c:v>
                </c:pt>
                <c:pt idx="13">
                  <c:v>44.459201284242624</c:v>
                </c:pt>
                <c:pt idx="14">
                  <c:v>44.190295200155397</c:v>
                </c:pt>
                <c:pt idx="15">
                  <c:v>44.150734150693232</c:v>
                </c:pt>
                <c:pt idx="16">
                  <c:v>40.929382809977824</c:v>
                </c:pt>
                <c:pt idx="17">
                  <c:v>39.250022953338153</c:v>
                </c:pt>
                <c:pt idx="18">
                  <c:v>35.671945501194372</c:v>
                </c:pt>
                <c:pt idx="19">
                  <c:v>30.651186318198242</c:v>
                </c:pt>
                <c:pt idx="20">
                  <c:v>19.650354337157445</c:v>
                </c:pt>
                <c:pt idx="21">
                  <c:v>15.430992824548555</c:v>
                </c:pt>
                <c:pt idx="22">
                  <c:v>14.20454396217186</c:v>
                </c:pt>
                <c:pt idx="23">
                  <c:v>9.2608122738853638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29472"/>
        <c:axId val="86731008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Кузоватовский район </c:v>
                </c:pt>
                <c:pt idx="2">
                  <c:v>Тереньгульский район</c:v>
                </c:pt>
                <c:pt idx="3">
                  <c:v>Цильнинский район</c:v>
                </c:pt>
                <c:pt idx="4">
                  <c:v>Димитровград </c:v>
                </c:pt>
                <c:pt idx="5">
                  <c:v>Инзенский район</c:v>
                </c:pt>
                <c:pt idx="6">
                  <c:v>Мелекесский район</c:v>
                </c:pt>
                <c:pt idx="7">
                  <c:v>Ульяновский район</c:v>
                </c:pt>
                <c:pt idx="8">
                  <c:v>Сенгилеевский район</c:v>
                </c:pt>
                <c:pt idx="9">
                  <c:v>Сурский район</c:v>
                </c:pt>
                <c:pt idx="10">
                  <c:v>Новомалыклинский район</c:v>
                </c:pt>
                <c:pt idx="11">
                  <c:v>Павловский район</c:v>
                </c:pt>
                <c:pt idx="12">
                  <c:v>Николаевский район </c:v>
                </c:pt>
                <c:pt idx="13">
                  <c:v>Старомайнский район</c:v>
                </c:pt>
                <c:pt idx="14">
                  <c:v>Вешкаймский район </c:v>
                </c:pt>
                <c:pt idx="15">
                  <c:v>Новоспасский район</c:v>
                </c:pt>
                <c:pt idx="16">
                  <c:v>Чердаклинский район</c:v>
                </c:pt>
                <c:pt idx="17">
                  <c:v>Карсунский район</c:v>
                </c:pt>
                <c:pt idx="18">
                  <c:v>Старокулаткинский район</c:v>
                </c:pt>
                <c:pt idx="19">
                  <c:v>Радищевский район</c:v>
                </c:pt>
                <c:pt idx="20">
                  <c:v>Майнский район</c:v>
                </c:pt>
                <c:pt idx="21">
                  <c:v>Барышский район</c:v>
                </c:pt>
                <c:pt idx="22">
                  <c:v>Новоульяновск </c:v>
                </c:pt>
                <c:pt idx="23">
                  <c:v>Ульяновск 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746624"/>
        <c:axId val="86745088"/>
      </c:lineChart>
      <c:catAx>
        <c:axId val="86729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6731008"/>
        <c:crossesAt val="0"/>
        <c:auto val="1"/>
        <c:lblAlgn val="ctr"/>
        <c:lblOffset val="100"/>
        <c:noMultiLvlLbl val="0"/>
      </c:catAx>
      <c:valAx>
        <c:axId val="86731008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6729472"/>
        <c:crosses val="autoZero"/>
        <c:crossBetween val="between"/>
        <c:majorUnit val="15"/>
      </c:valAx>
      <c:valAx>
        <c:axId val="86745088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86746624"/>
        <c:crosses val="max"/>
        <c:crossBetween val="between"/>
        <c:majorUnit val="15"/>
        <c:minorUnit val="5"/>
      </c:valAx>
      <c:catAx>
        <c:axId val="867466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6745088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C37D-A4B0-45A1-9B6F-A4F0AB0B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Мавзютов Ленар Асхатович</cp:lastModifiedBy>
  <cp:revision>112</cp:revision>
  <cp:lastPrinted>2021-07-19T10:48:00Z</cp:lastPrinted>
  <dcterms:created xsi:type="dcterms:W3CDTF">2020-09-17T11:25:00Z</dcterms:created>
  <dcterms:modified xsi:type="dcterms:W3CDTF">2021-07-19T10:48:00Z</dcterms:modified>
</cp:coreProperties>
</file>