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7A" w:rsidRDefault="0096187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6187A" w:rsidRDefault="0096187A">
      <w:pPr>
        <w:pStyle w:val="ConsPlusNormal"/>
        <w:ind w:firstLine="540"/>
        <w:jc w:val="both"/>
        <w:outlineLvl w:val="0"/>
      </w:pPr>
    </w:p>
    <w:p w:rsidR="0096187A" w:rsidRDefault="0096187A">
      <w:pPr>
        <w:pStyle w:val="ConsPlusTitle"/>
        <w:jc w:val="center"/>
      </w:pPr>
      <w:r>
        <w:t>ВЕРХОВНЫЙ СУД РОССИЙСКОЙ ФЕДЕРАЦИИ</w:t>
      </w:r>
    </w:p>
    <w:p w:rsidR="0096187A" w:rsidRDefault="0096187A">
      <w:pPr>
        <w:pStyle w:val="ConsPlusTitle"/>
        <w:jc w:val="center"/>
      </w:pPr>
    </w:p>
    <w:p w:rsidR="0096187A" w:rsidRDefault="0096187A">
      <w:pPr>
        <w:pStyle w:val="ConsPlusTitle"/>
        <w:jc w:val="center"/>
      </w:pPr>
      <w:r>
        <w:t>ОПРЕДЕЛЕНИЕ</w:t>
      </w:r>
    </w:p>
    <w:p w:rsidR="0096187A" w:rsidRDefault="0096187A">
      <w:pPr>
        <w:pStyle w:val="ConsPlusTitle"/>
        <w:jc w:val="center"/>
      </w:pPr>
      <w:r>
        <w:t>от 20 января 2022 г. N 304-ЭС21-26643</w:t>
      </w:r>
    </w:p>
    <w:p w:rsidR="0096187A" w:rsidRDefault="0096187A">
      <w:pPr>
        <w:pStyle w:val="ConsPlusNormal"/>
        <w:ind w:firstLine="540"/>
        <w:jc w:val="both"/>
      </w:pPr>
    </w:p>
    <w:p w:rsidR="0096187A" w:rsidRDefault="0096187A">
      <w:pPr>
        <w:pStyle w:val="ConsPlusNormal"/>
        <w:ind w:firstLine="540"/>
        <w:jc w:val="both"/>
      </w:pPr>
      <w:r>
        <w:t xml:space="preserve">Судья Верховного Суда Российской Федерации Пронина М.В., рассмотрев кассационную жалобу Управления делами Правительства Ямало-Ненецкого автономного округа (далее - управление) на решение Арбитражного суда Ямало-Ненецкого автономного округа от 28.01.2021 по делу N А81-9117/2020,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Восьмого арбитражного апелляционного суда от 08.06.2021 и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Арбитражного суда Западно-Сибирского округа от 23.09.2021 по тому же делу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по иску общества с ограниченной ответственностью "</w:t>
      </w:r>
      <w:proofErr w:type="spellStart"/>
      <w:r>
        <w:t>Гринлайн</w:t>
      </w:r>
      <w:proofErr w:type="spellEnd"/>
      <w:r>
        <w:t>" (далее - общество) к управлению о взыскании 112 074 руб. 55 коп. задолженности по государственному контракту от 28.08.2017 N 1708-31-ПТ (далее - контракт), 28 018 руб. 64 коп. неустойки за ненадлежащее исполнение обязательств,</w:t>
      </w:r>
    </w:p>
    <w:p w:rsidR="0096187A" w:rsidRDefault="0096187A">
      <w:pPr>
        <w:pStyle w:val="ConsPlusNormal"/>
        <w:jc w:val="center"/>
      </w:pPr>
    </w:p>
    <w:p w:rsidR="0096187A" w:rsidRDefault="0096187A">
      <w:pPr>
        <w:pStyle w:val="ConsPlusNormal"/>
        <w:jc w:val="center"/>
      </w:pPr>
      <w:r>
        <w:t>установила:</w:t>
      </w:r>
    </w:p>
    <w:p w:rsidR="0096187A" w:rsidRDefault="0096187A">
      <w:pPr>
        <w:pStyle w:val="ConsPlusNormal"/>
        <w:jc w:val="center"/>
      </w:pPr>
    </w:p>
    <w:p w:rsidR="0096187A" w:rsidRDefault="0096187A">
      <w:pPr>
        <w:pStyle w:val="ConsPlusNormal"/>
        <w:ind w:firstLine="540"/>
        <w:jc w:val="both"/>
      </w:pPr>
      <w:r>
        <w:t xml:space="preserve">решением Арбитражного суда Ямало-Ненецкого автономного округа от 28.01.2021, оставленным без изменения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Восьмого арбитражного апелляционного суда от 08.06.2021 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Арбитражного суда Западно-Сибирского округа от 23.09.2021, иск удовлетворен.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В кассационной жалобе, поданной в Верховный Суд Российской Федерации, управление просит отменить состоявшиеся судебные акты, ссылаясь на существенные нарушения норм материального права.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1 части 7 статьи 291.6</w:t>
        </w:r>
      </w:hyperlink>
      <w:r>
        <w:t xml:space="preserve"> Арбитражного процессуального кодекса Российской Федерации (далее - Арбитражный процессуальный кодекс) по результатам изучения кассационной жалобы, представления судья Верховного Суда Российской Федерации выносит определение об отказе в передаче кассационных жалоб, представления для рассмотрения в судебном заседании Судебной коллегии Верховного Суда Российской Федерации, если изложенные в кассационных жалобах, представлении доводы не подтверждают существенных нарушений норм материального права и (или) норм процессуального права, повлиявших на исход дела, и не являются достаточным основанием для пересмотра судебных актов в кассационном порядке и (или) для решения вопроса о присуждении компенсации за нарушение права на судопроизводство в разумный срок, а также если указанные доводы не находят подтверждения в материалах дела.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Как следует из представленных материалов, между обществом (поставщиком) и управлением (заказчиком) 28.08.2017 заключен контракт, по условиям которого общество обязалось поставить управлению товар (картриджи, тонеры и комплектующие) на общую сумму 1 120 745 руб. 47 коп.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Контрактом предусмотрен срок поставки товара - 10 дней с момента заключения контракта, оплата - в течение 15 рабочих дней с момента завершения приемки товара.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Товар поставлен по частям, на некоторых коробках отсутствовала маркировка, товар не соответствовал по качественным характеристикам условиям контракта. Поставщик исправил недостатки в полном объеме 02.10.2017.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 xml:space="preserve">Управление 11.10.2017 направило обществу претензию о просрочке поставки товара и взыскании неустойки в бесспорном порядке, а именно уплатить 68 589 руб. 63 коп. пени за </w:t>
      </w:r>
      <w:r>
        <w:lastRenderedPageBreak/>
        <w:t>просрочку поставки товара и 112 074 руб. 55 коп. штрафа за поставку товара ненадлежащего качества.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В ответе на претензию от 12.10.2017 общество признало допущенную просрочку поставки товара и согласилось с суммой пени (68 589 руб. 63 коп.), но не согласилось с наличием оснований для взыскания штрафа, поскольку все замечания управления к поставленному товару были устранены, товар принят управлением в полном объеме без замечаний по количеству и качеству, что подтверждается актом приемки от 10.10.2017.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Управление удержало 180 664 руб. 18 коп. неустойки и штрафа из общей стоимости товара, подлежащей оплате, перечислив обществу в счет оплаты 940 081 руб. 29 коп.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 xml:space="preserve">Полагая неправомерным удержание штрафа в размере 112 074 руб. 55 </w:t>
      </w:r>
      <w:proofErr w:type="gramStart"/>
      <w:r>
        <w:t>коп.,</w:t>
      </w:r>
      <w:proofErr w:type="gramEnd"/>
      <w:r>
        <w:t xml:space="preserve"> истец направил ответчику претензию от 24.11.2017 N 419 с требованием о возврате необоснованно удержанных денежных средств и оплате штрафа в размере 28 018 руб. 64 коп. за ненадлежащее исполнение обязательства по оплате товара.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Неисполнение управлением требований претензии явилось основанием для обращения общества в арбитражный суд с настоящим иском.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 xml:space="preserve">Оценив представленные доказательства в соответствии с требованиями </w:t>
      </w:r>
      <w:hyperlink r:id="rId10" w:history="1">
        <w:r>
          <w:rPr>
            <w:color w:val="0000FF"/>
          </w:rPr>
          <w:t>статьи 71</w:t>
        </w:r>
      </w:hyperlink>
      <w:r>
        <w:t xml:space="preserve"> Арбитражного процессуального кодекса, руководствуясь </w:t>
      </w:r>
      <w:hyperlink r:id="rId11" w:history="1">
        <w:r>
          <w:rPr>
            <w:color w:val="0000FF"/>
          </w:rPr>
          <w:t>статьями 195</w:t>
        </w:r>
      </w:hyperlink>
      <w:r>
        <w:t xml:space="preserve">, </w:t>
      </w:r>
      <w:hyperlink r:id="rId12" w:history="1">
        <w:r>
          <w:rPr>
            <w:color w:val="0000FF"/>
          </w:rPr>
          <w:t>202</w:t>
        </w:r>
      </w:hyperlink>
      <w:r>
        <w:t xml:space="preserve"> </w:t>
      </w:r>
      <w:hyperlink r:id="rId13" w:history="1">
        <w:r>
          <w:rPr>
            <w:color w:val="0000FF"/>
          </w:rPr>
          <w:t>309</w:t>
        </w:r>
      </w:hyperlink>
      <w:r>
        <w:t xml:space="preserve">, </w:t>
      </w:r>
      <w:hyperlink r:id="rId14" w:history="1">
        <w:r>
          <w:rPr>
            <w:color w:val="0000FF"/>
          </w:rPr>
          <w:t>310</w:t>
        </w:r>
      </w:hyperlink>
      <w:r>
        <w:t xml:space="preserve">, </w:t>
      </w:r>
      <w:hyperlink r:id="rId15" w:history="1">
        <w:r>
          <w:rPr>
            <w:color w:val="0000FF"/>
          </w:rPr>
          <w:t>330</w:t>
        </w:r>
      </w:hyperlink>
      <w:r>
        <w:t xml:space="preserve">, </w:t>
      </w:r>
      <w:hyperlink r:id="rId16" w:history="1">
        <w:r>
          <w:rPr>
            <w:color w:val="0000FF"/>
          </w:rPr>
          <w:t>506</w:t>
        </w:r>
      </w:hyperlink>
      <w:r>
        <w:t xml:space="preserve">, </w:t>
      </w:r>
      <w:hyperlink r:id="rId17" w:history="1">
        <w:r>
          <w:rPr>
            <w:color w:val="0000FF"/>
          </w:rPr>
          <w:t>516</w:t>
        </w:r>
      </w:hyperlink>
      <w:r>
        <w:t xml:space="preserve">, </w:t>
      </w:r>
      <w:hyperlink r:id="rId18" w:history="1">
        <w:r>
          <w:rPr>
            <w:color w:val="0000FF"/>
          </w:rPr>
          <w:t>526</w:t>
        </w:r>
      </w:hyperlink>
      <w:r>
        <w:t xml:space="preserve"> Гражданского кодекса Российской Федерации, положениями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правовой позицией, изложенной в </w:t>
      </w:r>
      <w:hyperlink r:id="rId20" w:history="1">
        <w:r>
          <w:rPr>
            <w:color w:val="0000FF"/>
          </w:rPr>
          <w:t>пункте 36</w:t>
        </w:r>
      </w:hyperlink>
      <w:r>
        <w:t xml:space="preserve"> Обзора судебной практики применения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утвержденного Президиумом Верховного Суда Российской Федерации 28.06.2017, </w:t>
      </w:r>
      <w:hyperlink r:id="rId21" w:history="1">
        <w:r>
          <w:rPr>
            <w:color w:val="0000FF"/>
          </w:rPr>
          <w:t>пунктом 35</w:t>
        </w:r>
      </w:hyperlink>
      <w:r>
        <w:t xml:space="preserve"> Обзора судебной практики Верховного Суда Российской Федерации N 1 (2019), утвержденного Президиумом Верховного Суда Российской Федерации 24.04.2019, условиями контракта, суды удовлетворил иск, установив неправомерность начисления и удержания управлением штрафа в размере 112 074 руб. 55 коп., неполной оплаты им поставленного товара, обоснованности требования о взыскании неоплаченной части цены поставленного товара и неустойки по пункту 6.2 контракта.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Судами установлено, что обязательства по контракту исполнены обществом полностью, но с просрочкой. Суды отметили, что обстоятельство замены в ходе исполнения контракта товара ненадлежащего качества на качественный товар не является достаточным основанием для взыскания штрафа, так как в конечном итоге товар надлежащего качества поставлен, и интерес заказчика удовлетворен. Допущенное обществом нарушение является основанием только для начисления повременной неустойки (пени).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Приведенные управлением доводы были предметом рассмотрения судами, получили надлежащую правовую оценку и мотивированно отклонены.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>Существенных нарушений норм материального и (или) процессуального права судами не допущено.</w:t>
      </w:r>
    </w:p>
    <w:p w:rsidR="0096187A" w:rsidRDefault="0096187A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22" w:history="1">
        <w:r>
          <w:rPr>
            <w:color w:val="0000FF"/>
          </w:rPr>
          <w:t>статьями 291.6</w:t>
        </w:r>
      </w:hyperlink>
      <w:r>
        <w:t xml:space="preserve">, </w:t>
      </w:r>
      <w:hyperlink r:id="rId23" w:history="1">
        <w:r>
          <w:rPr>
            <w:color w:val="0000FF"/>
          </w:rPr>
          <w:t>291.8</w:t>
        </w:r>
      </w:hyperlink>
      <w:r>
        <w:t xml:space="preserve"> Арбитражного процессуального кодекса Российской Федерации,</w:t>
      </w:r>
    </w:p>
    <w:p w:rsidR="0096187A" w:rsidRDefault="0096187A">
      <w:pPr>
        <w:pStyle w:val="ConsPlusNormal"/>
        <w:jc w:val="center"/>
      </w:pPr>
    </w:p>
    <w:p w:rsidR="0096187A" w:rsidRDefault="0096187A">
      <w:pPr>
        <w:pStyle w:val="ConsPlusNormal"/>
        <w:jc w:val="center"/>
      </w:pPr>
      <w:r>
        <w:t>определила:</w:t>
      </w:r>
    </w:p>
    <w:p w:rsidR="0096187A" w:rsidRDefault="0096187A">
      <w:pPr>
        <w:pStyle w:val="ConsPlusNormal"/>
        <w:jc w:val="center"/>
      </w:pPr>
    </w:p>
    <w:p w:rsidR="0096187A" w:rsidRDefault="0096187A">
      <w:pPr>
        <w:pStyle w:val="ConsPlusNormal"/>
        <w:ind w:firstLine="540"/>
        <w:jc w:val="both"/>
      </w:pPr>
      <w:r>
        <w:t xml:space="preserve">отказать Управлению делами Правительства Ямало-Ненецкого автономного округа в передаче кассационной жалобы для рассмотрения в судебном заседании Судебной коллегии по </w:t>
      </w:r>
      <w:r>
        <w:lastRenderedPageBreak/>
        <w:t>экономическим спорам Верховного Суда Российской Федерации.</w:t>
      </w:r>
    </w:p>
    <w:p w:rsidR="0096187A" w:rsidRDefault="0096187A">
      <w:pPr>
        <w:pStyle w:val="ConsPlusNormal"/>
        <w:ind w:firstLine="540"/>
        <w:jc w:val="both"/>
      </w:pPr>
    </w:p>
    <w:p w:rsidR="0096187A" w:rsidRDefault="0096187A">
      <w:pPr>
        <w:pStyle w:val="ConsPlusNormal"/>
        <w:jc w:val="right"/>
      </w:pPr>
      <w:r>
        <w:t>Судья Верховного Суда</w:t>
      </w:r>
    </w:p>
    <w:p w:rsidR="0096187A" w:rsidRDefault="0096187A">
      <w:pPr>
        <w:pStyle w:val="ConsPlusNormal"/>
        <w:jc w:val="right"/>
      </w:pPr>
      <w:r>
        <w:t>Российской Федерации</w:t>
      </w:r>
    </w:p>
    <w:p w:rsidR="0096187A" w:rsidRDefault="0096187A">
      <w:pPr>
        <w:pStyle w:val="ConsPlusNormal"/>
        <w:jc w:val="right"/>
      </w:pPr>
      <w:r>
        <w:t>М.В.ПРОНИНА</w:t>
      </w:r>
    </w:p>
    <w:p w:rsidR="0096187A" w:rsidRDefault="0096187A">
      <w:pPr>
        <w:pStyle w:val="ConsPlusNormal"/>
        <w:ind w:firstLine="540"/>
        <w:jc w:val="both"/>
      </w:pPr>
    </w:p>
    <w:p w:rsidR="0096187A" w:rsidRDefault="0096187A">
      <w:pPr>
        <w:pStyle w:val="ConsPlusNormal"/>
        <w:ind w:firstLine="540"/>
        <w:jc w:val="both"/>
      </w:pPr>
    </w:p>
    <w:p w:rsidR="0096187A" w:rsidRDefault="009618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BF9" w:rsidRDefault="002C5BF9">
      <w:bookmarkStart w:id="0" w:name="_GoBack"/>
      <w:bookmarkEnd w:id="0"/>
    </w:p>
    <w:sectPr w:rsidR="002C5BF9" w:rsidSect="0010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7A"/>
    <w:rsid w:val="002C5BF9"/>
    <w:rsid w:val="0096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4788B-CDC2-413E-8DD1-DC5CF2E8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8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B32908B274E5F834DE98C7D2E40B608A9D60FBAC8909777F4FCF0BA872EE58CE63DBFE41713E96B6544D390T6fDM" TargetMode="External"/><Relationship Id="rId13" Type="http://schemas.openxmlformats.org/officeDocument/2006/relationships/hyperlink" Target="consultantplus://offline/ref=1A8B32908B274E5F834DF697792E40B60AA9DF08B4CD909777F4FCF0BA872EE59EE665B3E41108ED69701282D63AFEC951FADF8052350C0CT5f1M" TargetMode="External"/><Relationship Id="rId18" Type="http://schemas.openxmlformats.org/officeDocument/2006/relationships/hyperlink" Target="consultantplus://offline/ref=1A8B32908B274E5F834DF697792E40B60AAADE02BBCB909777F4FCF0BA872EE59EE665B3E41205EB6E701282D63AFEC951FADF8052350C0CT5f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A8B32908B274E5F834DFB846C2E40B60CA6DF08B3C1909777F4FCF0BA872EE59EE665B3E41008EE6F701282D63AFEC951FADF8052350C0CT5f1M" TargetMode="External"/><Relationship Id="rId7" Type="http://schemas.openxmlformats.org/officeDocument/2006/relationships/hyperlink" Target="consultantplus://offline/ref=1A8B32908B274E5F834DE8977E461EBB01A58107B3CB9EC229A8FAA7E5D728B0DEA663E6B55458E4697C58D39071F1C954TEf6M" TargetMode="External"/><Relationship Id="rId12" Type="http://schemas.openxmlformats.org/officeDocument/2006/relationships/hyperlink" Target="consultantplus://offline/ref=1A8B32908B274E5F834DF697792E40B60AA9DF08B4CD909777F4FCF0BA872EE59EE665B7E51906BD383F13DE9268EDC954FADD824ET3f5M" TargetMode="External"/><Relationship Id="rId17" Type="http://schemas.openxmlformats.org/officeDocument/2006/relationships/hyperlink" Target="consultantplus://offline/ref=1A8B32908B274E5F834DF697792E40B60AAADE02BBCB909777F4FCF0BA872EE59EE665B3E4100FE06D701282D63AFEC951FADF8052350C0CT5f1M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A8B32908B274E5F834DF697792E40B60AAADE02BBCB909777F4FCF0BA872EE59EE665B3E4100FEC6B701282D63AFEC951FADF8052350C0CT5f1M" TargetMode="External"/><Relationship Id="rId20" Type="http://schemas.openxmlformats.org/officeDocument/2006/relationships/hyperlink" Target="consultantplus://offline/ref=1A8B32908B274E5F834DFB846C2E40B60CAEDB09B2CD909777F4FCF0BA872EE59EE665B3E4100EEF6F701282D63AFEC951FADF8052350C0CT5f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B32908B274E5F834DE98C7D2E40B608A9D60FBAC8909777F4FCF0BA872EE58CE63DBFE41713E96B6544D390T6fDM" TargetMode="External"/><Relationship Id="rId11" Type="http://schemas.openxmlformats.org/officeDocument/2006/relationships/hyperlink" Target="consultantplus://offline/ref=1A8B32908B274E5F834DF697792E40B60AA9DF08B4CD909777F4FCF0BA872EE59EE665B3E4110DEE6C701282D63AFEC951FADF8052350C0CT5f1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A8B32908B274E5F834DE8977E461EBB01A58107B3CB9EC229A8FAA7E5D728B0DEA663E6B55458E4697C58D39071F1C954TEf6M" TargetMode="External"/><Relationship Id="rId15" Type="http://schemas.openxmlformats.org/officeDocument/2006/relationships/hyperlink" Target="consultantplus://offline/ref=1A8B32908B274E5F834DF697792E40B60AA9DF08B4CD909777F4FCF0BA872EE59EE665B3E4110BE861701282D63AFEC951FADF8052350C0CT5f1M" TargetMode="External"/><Relationship Id="rId23" Type="http://schemas.openxmlformats.org/officeDocument/2006/relationships/hyperlink" Target="consultantplus://offline/ref=1A8B32908B274E5F834DF697792E40B60DAEDA03B0CC909777F4FCF0BA872EE59EE665B5E11806BD383F13DE9268EDC954FADD824ET3f5M" TargetMode="External"/><Relationship Id="rId10" Type="http://schemas.openxmlformats.org/officeDocument/2006/relationships/hyperlink" Target="consultantplus://offline/ref=1A8B32908B274E5F834DF697792E40B60DAEDA03B0CC909777F4FCF0BA872EE59EE665B3E41009E860701282D63AFEC951FADF8052350C0CT5f1M" TargetMode="External"/><Relationship Id="rId19" Type="http://schemas.openxmlformats.org/officeDocument/2006/relationships/hyperlink" Target="consultantplus://offline/ref=1A8B32908B274E5F834DF697792E40B60AABD90AB4CD909777F4FCF0BA872EE58CE63DBFE41713E96B6544D390T6fD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A8B32908B274E5F834DF697792E40B60DAEDA03B0CC909777F4FCF0BA872EE59EE665B5E11206BD383F13DE9268EDC954FADD824ET3f5M" TargetMode="External"/><Relationship Id="rId14" Type="http://schemas.openxmlformats.org/officeDocument/2006/relationships/hyperlink" Target="consultantplus://offline/ref=1A8B32908B274E5F834DF697792E40B60AA9DF08B4CD909777F4FCF0BA872EE59EE665B3E4150CEA622F1797C762F3CE48E4DD9C4E370ET0fCM" TargetMode="External"/><Relationship Id="rId22" Type="http://schemas.openxmlformats.org/officeDocument/2006/relationships/hyperlink" Target="consultantplus://offline/ref=1A8B32908B274E5F834DF697792E40B60DAEDA03B0CC909777F4FCF0BA872EE59EE665B5E01406BD383F13DE9268EDC954FADD824ET3f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2022-02-07T12:31:00Z</dcterms:created>
  <dcterms:modified xsi:type="dcterms:W3CDTF">2022-02-07T12:31:00Z</dcterms:modified>
</cp:coreProperties>
</file>