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4" w:rsidRPr="00B15374" w:rsidRDefault="00216FF4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bookmarkStart w:id="0" w:name="_Hlk58409215"/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ОТЧЁТ 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от 26.01.2021 № 9-р </w:t>
      </w:r>
      <w:r w:rsidR="00216FF4"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«Об утверждении Плана развития правовой грамотности и правосознания граждан в сфере закупок 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  <w:t xml:space="preserve">на 2021-2024 годы» 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по итогам </w:t>
      </w:r>
      <w:r w:rsidR="00EA7D0F"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1-го</w:t>
      </w:r>
      <w:r w:rsidR="00B243D2"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полугодия 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202</w:t>
      </w:r>
      <w:r w:rsidR="002F7E2E"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</w:p>
    <w:p w:rsidR="005B70AB" w:rsidRPr="00B15374" w:rsidRDefault="005B70AB" w:rsidP="00B15374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3544"/>
        <w:gridCol w:w="1417"/>
        <w:gridCol w:w="5387"/>
      </w:tblGrid>
      <w:tr w:rsidR="00853AED" w:rsidRPr="00B15374" w:rsidTr="005B70AB">
        <w:tc>
          <w:tcPr>
            <w:tcW w:w="568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№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Наименование 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мероприятия/проекта</w:t>
            </w:r>
          </w:p>
        </w:tc>
        <w:tc>
          <w:tcPr>
            <w:tcW w:w="3544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Цель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мероприятия/проекта</w:t>
            </w:r>
          </w:p>
        </w:tc>
        <w:tc>
          <w:tcPr>
            <w:tcW w:w="1417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Срок проведения</w:t>
            </w:r>
          </w:p>
        </w:tc>
        <w:tc>
          <w:tcPr>
            <w:tcW w:w="5387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Сведения об исполнении 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Организация и проведение «прямых телефонных линий» с населением Ульяновской области по вопросам, входящим в компетенцию Агентства</w:t>
            </w: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ежекварта</w:t>
            </w:r>
          </w:p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льно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Агентством государственных закупок Ульяновской области (далее – Агентство) были организованы «прямые телефонные линии» для правового консультирования в сфере закупок населения</w:t>
            </w:r>
            <w:r w:rsidR="00191E04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:</w:t>
            </w:r>
          </w:p>
          <w:p w:rsidR="007361D6" w:rsidRPr="00B15374" w:rsidRDefault="00191E04" w:rsidP="00B1537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 xml:space="preserve">- с </w:t>
            </w:r>
            <w:r w:rsidR="002F7E2E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15.02</w:t>
            </w: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 xml:space="preserve"> по </w:t>
            </w:r>
            <w:r w:rsidR="002F7E2E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16.02</w:t>
            </w: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.202</w:t>
            </w:r>
            <w:r w:rsidR="002F7E2E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2</w:t>
            </w:r>
            <w:r w:rsidR="00B243D2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;</w:t>
            </w:r>
          </w:p>
          <w:p w:rsidR="004B792A" w:rsidRPr="00B15374" w:rsidRDefault="004B792A" w:rsidP="00B1537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 с 14.03 по 25.03.2022;</w:t>
            </w:r>
          </w:p>
          <w:p w:rsidR="00B243D2" w:rsidRPr="00B15374" w:rsidRDefault="00B243D2" w:rsidP="00B1537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</w:t>
            </w:r>
            <w:r w:rsidR="00674194"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 xml:space="preserve"> с 22.06 по 24.06.2022.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Ведение и актуализация Раздела «Библиотека по контрактной системе» на официальном сайте Агентства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https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  <w:t>://</w:t>
            </w:r>
            <w:proofErr w:type="spellStart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goszakupki</w:t>
            </w:r>
            <w:proofErr w:type="spellEnd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  <w:t>73.</w:t>
            </w:r>
            <w:proofErr w:type="spellStart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Получение правовой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методической помощи в сфере закупок, повышение профессионального уровня, приобретение теоретических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практических знаний в данной сфере 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Создан и 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</w:t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br/>
              <w:t>в информационно-телекоммуникационной сети «Интернет» (https://goszakupki73.ru), а именно: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федеральные нормативные правовые акты;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региональные нормативные правовые акты;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методические рекомендации Агентства;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разъяснения по контрактной системе;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отчёты, аналитические материалы;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- проекты федеральных нормативных правовых актов </w:t>
            </w:r>
            <w:r w:rsidR="00B15374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в сфере закупок;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- проекты региональных нормативных правовых актов </w:t>
            </w:r>
            <w:r w:rsidR="00B15374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в сфере закупок;</w:t>
            </w:r>
          </w:p>
          <w:p w:rsidR="007361D6" w:rsidRPr="00B15374" w:rsidRDefault="007361D6" w:rsidP="00B1537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типовые контракты;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видеоматериалы;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формы для самостоятельного определения поставщика.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 w:cs="Times New Roman"/>
              </w:rPr>
              <w:t xml:space="preserve">Количество размещённых материалов на сайте составляет порядка </w:t>
            </w:r>
            <w:r w:rsidR="00674194" w:rsidRPr="00B15374">
              <w:rPr>
                <w:rFonts w:ascii="PT Astra Serif" w:hAnsi="PT Astra Serif" w:cs="Times New Roman"/>
              </w:rPr>
              <w:t>570</w:t>
            </w:r>
            <w:r w:rsidRPr="00B15374">
              <w:rPr>
                <w:rFonts w:ascii="PT Astra Serif" w:hAnsi="PT Astra Serif" w:cs="Times New Roman"/>
              </w:rPr>
              <w:t xml:space="preserve"> документов.</w:t>
            </w:r>
          </w:p>
        </w:tc>
      </w:tr>
      <w:tr w:rsidR="001C3FDE" w:rsidRPr="00B15374" w:rsidTr="005B70AB">
        <w:tc>
          <w:tcPr>
            <w:tcW w:w="568" w:type="dxa"/>
          </w:tcPr>
          <w:p w:rsidR="001C3FDE" w:rsidRPr="00B15374" w:rsidRDefault="001C3FDE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1C3FDE" w:rsidRPr="00B15374" w:rsidRDefault="001C3FDE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(выступлений)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средствах массовой информации,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сети «Интернет» по вопросам, входящим в компетенцию Агентства </w:t>
            </w:r>
          </w:p>
        </w:tc>
        <w:tc>
          <w:tcPr>
            <w:tcW w:w="3544" w:type="dxa"/>
          </w:tcPr>
          <w:p w:rsidR="001C3FDE" w:rsidRPr="00B15374" w:rsidRDefault="001C3FDE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Повышение профессионального уровня, приобретение теоретических и практических знаний в сфере закупок</w:t>
            </w:r>
          </w:p>
          <w:p w:rsidR="001C3FDE" w:rsidRPr="00B15374" w:rsidRDefault="001C3FDE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1C3FDE" w:rsidRPr="00B15374" w:rsidRDefault="001C3FDE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1 раз в полугодие </w:t>
            </w:r>
          </w:p>
        </w:tc>
        <w:tc>
          <w:tcPr>
            <w:tcW w:w="5387" w:type="dxa"/>
          </w:tcPr>
          <w:p w:rsidR="001C3FDE" w:rsidRPr="00B15374" w:rsidRDefault="001C3FDE" w:rsidP="00B1537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В региональном </w:t>
            </w:r>
            <w:proofErr w:type="spellStart"/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>Медиацентре</w:t>
            </w:r>
            <w:proofErr w:type="spellEnd"/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 Ульяновской области были организованы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пресс-конференции по </w:t>
            </w:r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итогам проведения Недель контрактных отношений </w:t>
            </w:r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br/>
              <w:t>и закупок:</w:t>
            </w:r>
          </w:p>
          <w:p w:rsidR="001C3FDE" w:rsidRPr="00B15374" w:rsidRDefault="001C3FDE" w:rsidP="00B15374">
            <w:pPr>
              <w:shd w:val="clear" w:color="auto" w:fill="FFFFFF"/>
              <w:spacing w:line="240" w:lineRule="auto"/>
              <w:jc w:val="both"/>
              <w:rPr>
                <w:rFonts w:ascii="PT Astra Serif" w:eastAsia="SimSun" w:hAnsi="PT Astra Serif" w:cs="Mangal"/>
                <w:color w:val="000000"/>
                <w:kern w:val="2"/>
                <w:lang w:eastAsia="hi-IN" w:bidi="hi-IN"/>
              </w:rPr>
            </w:pPr>
            <w:r w:rsidRPr="00B15374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- 20.06.2022 </w:t>
            </w:r>
            <w:r w:rsidRPr="00B15374">
              <w:rPr>
                <w:rFonts w:ascii="PT Astra Serif" w:eastAsia="SimSun" w:hAnsi="PT Astra Serif" w:cs="Mangal"/>
                <w:kern w:val="2"/>
                <w:lang w:eastAsia="hi-IN" w:bidi="hi-IN"/>
              </w:rPr>
              <w:t>«ГОСЗАКАЗ»: профильные направления сферы закупок. Эффективный диалог в отраслях».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7361D6" w:rsidRPr="00B15374" w:rsidRDefault="007D7C3A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</w:pPr>
            <w:hyperlink r:id="rId8" w:history="1">
              <w:r w:rsidR="007361D6"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Ознакомление всех заинтересованных лиц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с информацией о наиболее актуальных и проблемных событиях в сфере закупок, в том числе об изменениях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в законодательства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>о контрактной системе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постоянной основе ведётся и актуализируется Раздел «Новости» на официальном сайте Агентства,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целях </w:t>
            </w: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информирования о самых важных новостях </w:t>
            </w:r>
            <w:r w:rsid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br/>
            </w: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и событиях Ульяновской области и агентства государственных закупок. </w:t>
            </w:r>
            <w:r w:rsidRPr="00B15374">
              <w:rPr>
                <w:rFonts w:ascii="PT Astra Serif" w:hAnsi="PT Astra Serif" w:cs="Times New Roman"/>
              </w:rPr>
              <w:t xml:space="preserve">Количество размещённых материалов и информации в данном разделе составляет </w:t>
            </w:r>
            <w:r w:rsidR="00426E82" w:rsidRPr="00B15374">
              <w:rPr>
                <w:rFonts w:ascii="PT Astra Serif" w:hAnsi="PT Astra Serif" w:cs="Times New Roman"/>
              </w:rPr>
              <w:t>3</w:t>
            </w:r>
            <w:r w:rsidR="00674194" w:rsidRPr="00B15374">
              <w:rPr>
                <w:rFonts w:ascii="PT Astra Serif" w:hAnsi="PT Astra Serif" w:cs="Times New Roman"/>
              </w:rPr>
              <w:t>6</w:t>
            </w:r>
            <w:r w:rsidR="00FA04CC" w:rsidRPr="00B15374">
              <w:rPr>
                <w:rFonts w:ascii="PT Astra Serif" w:hAnsi="PT Astra Serif" w:cs="Times New Roman"/>
              </w:rPr>
              <w:t>7</w:t>
            </w:r>
            <w:r w:rsidRPr="00B15374">
              <w:rPr>
                <w:rFonts w:ascii="PT Astra Serif" w:hAnsi="PT Astra Serif" w:cs="Times New Roman"/>
              </w:rPr>
              <w:t xml:space="preserve"> новост</w:t>
            </w:r>
            <w:r w:rsidR="00FA04CC" w:rsidRPr="00B15374">
              <w:rPr>
                <w:rFonts w:ascii="PT Astra Serif" w:hAnsi="PT Astra Serif" w:cs="Times New Roman"/>
              </w:rPr>
              <w:t>ей</w:t>
            </w:r>
            <w:r w:rsidRPr="00B15374">
              <w:rPr>
                <w:rFonts w:ascii="PT Astra Serif" w:hAnsi="PT Astra Serif" w:cs="Times New Roman"/>
              </w:rPr>
              <w:t>.</w:t>
            </w:r>
            <w:r w:rsidR="00674194" w:rsidRPr="00B15374"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Ведение и актуализация Раздела «Развитие правовой грамотности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правосознания граждан»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на официальном сайте Агентства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https://goszakupki73.ru</w:t>
            </w: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Ознакомление всех заинтересованных лиц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с информацией относительно развития правовой грамотности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правосознания граждан, а также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 возможности и порядке получения бесплатной юридической помощи 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постоянной основе ведётся и актуализируется Раздел «Развитие правовой грамотности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правосознания граждан» на официальном сайте Агентства, который состоит из следующих рубрик: 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- документы, где размещаются н</w:t>
            </w: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ормативно-правовые акты, связанные с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развитием правовой грамотности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и правосознания граждан</w:t>
            </w: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;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- новости;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- информация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 возможности и порядке получения бесплатной юридической помощи.</w:t>
            </w:r>
            <w:r w:rsidRPr="00B153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hAnsi="PT Astra Serif" w:cs="Times New Roman"/>
              </w:rPr>
              <w:t xml:space="preserve">Количество размещённых документов в данном разделе составляет </w:t>
            </w:r>
            <w:r w:rsidR="002F7E2E" w:rsidRPr="00B15374">
              <w:rPr>
                <w:rFonts w:ascii="PT Astra Serif" w:hAnsi="PT Astra Serif" w:cs="Times New Roman"/>
              </w:rPr>
              <w:t>2</w:t>
            </w:r>
            <w:r w:rsidR="00674194" w:rsidRPr="00B15374">
              <w:rPr>
                <w:rFonts w:ascii="PT Astra Serif" w:hAnsi="PT Astra Serif" w:cs="Times New Roman"/>
              </w:rPr>
              <w:t>7</w:t>
            </w:r>
            <w:r w:rsidRPr="00B15374">
              <w:rPr>
                <w:rFonts w:ascii="PT Astra Serif" w:hAnsi="PT Astra Serif" w:cs="Times New Roman"/>
              </w:rPr>
              <w:t xml:space="preserve"> материал</w:t>
            </w:r>
            <w:r w:rsidR="002F7E2E" w:rsidRPr="00B15374">
              <w:rPr>
                <w:rFonts w:ascii="PT Astra Serif" w:hAnsi="PT Astra Serif" w:cs="Times New Roman"/>
              </w:rPr>
              <w:t>ов</w:t>
            </w:r>
            <w:r w:rsidRPr="00B15374">
              <w:rPr>
                <w:rFonts w:ascii="PT Astra Serif" w:hAnsi="PT Astra Serif" w:cs="Times New Roman"/>
              </w:rPr>
              <w:t>.</w:t>
            </w:r>
          </w:p>
        </w:tc>
      </w:tr>
      <w:tr w:rsidR="007361D6" w:rsidRPr="00B15374" w:rsidTr="00A1594D">
        <w:trPr>
          <w:trHeight w:val="1946"/>
        </w:trPr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Организация системы онлайн-консультирования посредством использования Раздела «Контакты» рубрики «Часто задаваемые вопросы» на официальном сайте Агентства</w:t>
            </w:r>
          </w:p>
          <w:p w:rsidR="007361D6" w:rsidRPr="00B15374" w:rsidRDefault="007D7C3A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hyperlink r:id="rId9" w:history="1">
              <w:r w:rsidR="007361D6"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Оказание бесплатной юридической помощи посредством использования сети «Интернет» 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На постоянной основе организована система онлайн-консультирования посредством использования Раздела «Контакты» рубрики «Часто задаваемые вопросы»</w:t>
            </w:r>
            <w:r w:rsidR="00A1594D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.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и проведение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официальном сайте Агентства анонимного тестирования </w:t>
            </w:r>
          </w:p>
          <w:p w:rsidR="007361D6" w:rsidRPr="00B15374" w:rsidRDefault="007D7C3A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</w:pPr>
            <w:hyperlink r:id="rId10" w:history="1">
              <w:r w:rsidR="007361D6"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постоянной основе функционирует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актуализируется раздел «Тестирование»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на официальном сайте Агентства, который состоит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из двух вариантов – для новичков и для специалистов.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 xml:space="preserve">За </w:t>
            </w:r>
            <w:r w:rsidR="002F7E2E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1 </w:t>
            </w:r>
            <w:r w:rsidR="0067419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полугодие</w:t>
            </w:r>
            <w:r w:rsidR="002F7E2E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2022 года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тест прошли </w:t>
            </w:r>
            <w:r w:rsidR="00EA7D0F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3013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посетител</w:t>
            </w:r>
            <w:r w:rsidR="0067419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ей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, из них:</w:t>
            </w:r>
          </w:p>
          <w:p w:rsidR="007361D6" w:rsidRPr="00B15374" w:rsidRDefault="007361D6" w:rsidP="00B1537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- </w:t>
            </w:r>
            <w:r w:rsidR="00EA7D0F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667</w:t>
            </w:r>
            <w:r w:rsidR="00A1594D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посетителей – тест для новичков; </w:t>
            </w:r>
          </w:p>
          <w:p w:rsidR="007361D6" w:rsidRPr="00B15374" w:rsidRDefault="007361D6" w:rsidP="00B1537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- </w:t>
            </w:r>
            <w:r w:rsidR="00EA7D0F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2346</w:t>
            </w:r>
            <w:r w:rsidR="009D5F2E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посетителей – тест для специалистов. 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Проведение обучающих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>и методических мероприятий для специалистов, занятых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сфере закупок </w:t>
            </w: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Получение правовой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методической помощи в сфере закупок, а также повышение профессионального уровня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данной сфере 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1567E4" w:rsidRPr="00B15374" w:rsidRDefault="001567E4" w:rsidP="00B1537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 w:rsidRPr="00B15374">
              <w:rPr>
                <w:rFonts w:ascii="PT Astra Serif" w:hAnsi="PT Astra Serif"/>
                <w:color w:val="000000" w:themeColor="text1"/>
                <w:szCs w:val="22"/>
              </w:rPr>
              <w:t xml:space="preserve">Проведено </w:t>
            </w:r>
            <w:r w:rsidR="00B15374" w:rsidRPr="00B15374">
              <w:rPr>
                <w:rFonts w:ascii="PT Astra Serif" w:hAnsi="PT Astra Serif"/>
                <w:color w:val="000000" w:themeColor="text1"/>
                <w:szCs w:val="22"/>
              </w:rPr>
              <w:t>82</w:t>
            </w:r>
            <w:r w:rsidRPr="00B15374">
              <w:rPr>
                <w:rFonts w:ascii="PT Astra Serif" w:hAnsi="PT Astra Serif"/>
                <w:color w:val="000000" w:themeColor="text1"/>
                <w:szCs w:val="22"/>
              </w:rPr>
              <w:t xml:space="preserve"> мероприятия: </w:t>
            </w:r>
          </w:p>
          <w:p w:rsidR="001567E4" w:rsidRPr="00B15374" w:rsidRDefault="001567E4" w:rsidP="00B15374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1) организовано и проведено </w:t>
            </w:r>
            <w:r w:rsidR="001C3FDE" w:rsidRPr="00B15374">
              <w:rPr>
                <w:rFonts w:ascii="PT Astra Serif" w:hAnsi="PT Astra Serif" w:cs="Arial"/>
                <w:color w:val="000000" w:themeColor="text1"/>
                <w:szCs w:val="22"/>
              </w:rPr>
              <w:t>65</w:t>
            </w:r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обучающих </w:t>
            </w:r>
            <w:proofErr w:type="spellStart"/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>вебинара</w:t>
            </w:r>
            <w:proofErr w:type="spellEnd"/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(семинаров, круглых столов, совещаний)</w:t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</w:t>
            </w:r>
            <w:r w:rsidR="00B15374">
              <w:rPr>
                <w:rFonts w:ascii="PT Astra Serif" w:hAnsi="PT Astra Serif" w:cs="Times New Roman"/>
                <w:color w:val="000000" w:themeColor="text1"/>
                <w:szCs w:val="22"/>
              </w:rPr>
              <w:br/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по проблемным вопросам в сфере закупок;</w:t>
            </w:r>
          </w:p>
          <w:p w:rsidR="00A1594D" w:rsidRPr="00B15374" w:rsidRDefault="001567E4" w:rsidP="00B1537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2) проведено </w:t>
            </w:r>
            <w:r w:rsidR="00C62134"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4</w:t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вебинар</w:t>
            </w:r>
            <w:r w:rsidR="00C62134"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а</w:t>
            </w:r>
            <w:proofErr w:type="spellEnd"/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в рамках обучающего проекта «Школа заказчика», в которых приняли участие </w:t>
            </w:r>
            <w:r w:rsidR="00C62134"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774</w:t>
            </w:r>
            <w:r w:rsidR="00674194"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специалиста;</w:t>
            </w:r>
          </w:p>
          <w:p w:rsidR="00674194" w:rsidRPr="00B15374" w:rsidRDefault="001C3FDE" w:rsidP="00AD4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B15374">
              <w:rPr>
                <w:rFonts w:ascii="PT Astra Serif" w:hAnsi="PT Astra Serif" w:cs="Times New Roman"/>
                <w:color w:val="000000" w:themeColor="text1"/>
              </w:rPr>
              <w:t xml:space="preserve">3) </w:t>
            </w:r>
            <w:r w:rsidRP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 xml:space="preserve">проект «Экспресс стажировка», который направлен на приобретение профессиональных умений и навыков по формированию извещений об осуществлении закупок в РИС «АЦК-Госзаказ» с учётом вступления </w:t>
            </w:r>
            <w:r w:rsid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в силу с 01.01.2022 изменений положений Федерального закона от 05.04.2013 № 44-ФЗ (проведено 13 стажировок, в которых приняло участие 65 специалист</w:t>
            </w:r>
            <w:r w:rsidR="00AD492E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ов</w:t>
            </w:r>
            <w:r w:rsidRP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 xml:space="preserve">). 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Проведение форумов, семинаров, лекций, конференций, «круглых столов», совещаний и иных подобных мероприятий, распространение информационно-справочных материалов, а также информирование населения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 вопросам реализации Программы развития правовой грамотности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и правосознания граждан</w:t>
            </w: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Получение правовой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и методической помощи в целях п</w:t>
            </w:r>
            <w:r w:rsidRPr="00B15374">
              <w:rPr>
                <w:rFonts w:ascii="PT Astra Serif" w:hAnsi="PT Astra Serif"/>
                <w:color w:val="000000" w:themeColor="text1"/>
                <w:shd w:val="clear" w:color="auto" w:fill="FFFFFF"/>
              </w:rPr>
              <w:t>овышения уровня правовой грамотности граждан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целях единообразного толкования и применения отдельных положений Закона № 44-ФЗ Агентством организована работа по доведению актуальной информации в сфере закупок</w:t>
            </w:r>
            <w:r w:rsidR="00A1594D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="00B1537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36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информационных справок руководителям исполнительных органов государственной власти и уполномоченным органам муниципальных образований).</w:t>
            </w:r>
          </w:p>
          <w:p w:rsidR="00B15374" w:rsidRPr="00B15374" w:rsidRDefault="00B15374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Организованы и проведены «круглые столы» (семинары)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области:</w:t>
            </w:r>
          </w:p>
          <w:p w:rsidR="00B15374" w:rsidRPr="00B15374" w:rsidRDefault="00B15374" w:rsidP="00B15374">
            <w:pPr>
              <w:widowControl w:val="0"/>
              <w:suppressAutoHyphens/>
              <w:spacing w:line="240" w:lineRule="auto"/>
              <w:jc w:val="both"/>
              <w:rPr>
                <w:rFonts w:ascii="PT Astra Serif" w:eastAsia="SimSun" w:hAnsi="PT Astra Serif" w:cs="Mangal"/>
                <w:kern w:val="2"/>
                <w:lang w:eastAsia="hi-IN" w:bidi="hi-IN"/>
              </w:rPr>
            </w:pPr>
            <w:r w:rsidRPr="00B15374">
              <w:rPr>
                <w:rFonts w:ascii="PT Astra Serif" w:hAnsi="PT Astra Serif"/>
              </w:rPr>
              <w:t xml:space="preserve">- </w:t>
            </w:r>
            <w:r w:rsidRPr="00B15374">
              <w:rPr>
                <w:rFonts w:ascii="PT Astra Serif" w:eastAsia="SimSun" w:hAnsi="PT Astra Serif" w:cs="Mangal"/>
                <w:kern w:val="2"/>
                <w:lang w:eastAsia="hi-IN" w:bidi="hi-IN"/>
              </w:rPr>
              <w:t xml:space="preserve">15.06-17.06.2022 организована и проведена Х Неделя контрактных отношений и закупок Ульяновской области «ГОСЗАКАЗ»: профильные направления </w:t>
            </w:r>
            <w:r w:rsidRPr="00B15374">
              <w:rPr>
                <w:rFonts w:ascii="PT Astra Serif" w:eastAsia="SimSun" w:hAnsi="PT Astra Serif" w:cs="Mangal"/>
                <w:kern w:val="2"/>
                <w:lang w:eastAsia="hi-IN" w:bidi="hi-IN"/>
              </w:rPr>
              <w:lastRenderedPageBreak/>
              <w:t xml:space="preserve">сферы закупок. Эффективный диалог в отраслях», </w:t>
            </w:r>
            <w:r>
              <w:rPr>
                <w:rFonts w:ascii="PT Astra Serif" w:eastAsia="SimSun" w:hAnsi="PT Astra Serif" w:cs="Mangal"/>
                <w:kern w:val="2"/>
                <w:lang w:eastAsia="hi-IN" w:bidi="hi-IN"/>
              </w:rPr>
              <w:br/>
            </w:r>
            <w:r w:rsidRPr="00B15374">
              <w:rPr>
                <w:rFonts w:ascii="PT Astra Serif" w:eastAsia="SimSun" w:hAnsi="PT Astra Serif" w:cs="Mangal"/>
                <w:kern w:val="2"/>
                <w:lang w:eastAsia="hi-IN" w:bidi="hi-IN"/>
              </w:rPr>
              <w:t>в рамках которой было проведено 6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300 человек);</w:t>
            </w:r>
          </w:p>
          <w:p w:rsidR="007361D6" w:rsidRPr="00B15374" w:rsidRDefault="007361D6" w:rsidP="00AD492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Агентством совместно с ОГКУ «Центр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 сопровождению закупок» создан и реализуется обучающий проект «Школа заказчика», в рамках которого осуществляется обучение /консультирование по работе заказчиков (пользователей) в РИС АЦК-Госзаказ, оказание методической помощи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 проблемным </w:t>
            </w:r>
            <w:proofErr w:type="gramStart"/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вопросам </w:t>
            </w:r>
            <w:r w:rsidR="00AD492E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</w:t>
            </w:r>
            <w:proofErr w:type="gramEnd"/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сфере закупок (проведено</w:t>
            </w:r>
            <w:r w:rsidR="00C6213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4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обучающих </w:t>
            </w:r>
            <w:proofErr w:type="spellStart"/>
            <w:r w:rsidR="00C6213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вебинара</w:t>
            </w:r>
            <w:proofErr w:type="spellEnd"/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,</w:t>
            </w:r>
            <w:r w:rsidR="00AD492E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bookmarkStart w:id="1" w:name="_GoBack"/>
            <w:bookmarkEnd w:id="1"/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которых приняли участие </w:t>
            </w:r>
            <w:r w:rsidR="00C62134"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774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специалиста).</w:t>
            </w:r>
          </w:p>
        </w:tc>
      </w:tr>
      <w:tr w:rsidR="007361D6" w:rsidRPr="00B15374" w:rsidTr="005B70AB">
        <w:tc>
          <w:tcPr>
            <w:tcW w:w="568" w:type="dxa"/>
          </w:tcPr>
          <w:p w:rsidR="007361D6" w:rsidRPr="00B15374" w:rsidRDefault="007361D6" w:rsidP="00B1537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3544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Приобретение знаний, умений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формирование профессиональных компетенций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профильной сфере, а также </w:t>
            </w:r>
            <w:r w:rsid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области развития правовой грамотности и правосознания граждан </w:t>
            </w:r>
          </w:p>
        </w:tc>
        <w:tc>
          <w:tcPr>
            <w:tcW w:w="1417" w:type="dxa"/>
          </w:tcPr>
          <w:p w:rsidR="007361D6" w:rsidRPr="00B15374" w:rsidRDefault="007361D6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B15374" w:rsidRDefault="007361D6" w:rsidP="00B1537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Сотрудниками Агентства было пройдено обучение:</w:t>
            </w:r>
          </w:p>
          <w:p w:rsidR="00A84E70" w:rsidRPr="00B15374" w:rsidRDefault="007361D6" w:rsidP="00B15374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1) </w:t>
            </w:r>
            <w:r w:rsidRPr="00B15374">
              <w:rPr>
                <w:rFonts w:ascii="PT Astra Serif" w:hAnsi="PT Astra Serif"/>
                <w:color w:val="000000" w:themeColor="text1"/>
              </w:rPr>
              <w:t>24.</w:t>
            </w:r>
            <w:r w:rsidR="00B820BE" w:rsidRPr="00B15374">
              <w:rPr>
                <w:rFonts w:ascii="PT Astra Serif" w:hAnsi="PT Astra Serif"/>
                <w:color w:val="000000" w:themeColor="text1"/>
              </w:rPr>
              <w:t>03.2022</w:t>
            </w:r>
            <w:r w:rsidRPr="00B15374">
              <w:rPr>
                <w:rFonts w:ascii="PT Astra Serif" w:hAnsi="PT Astra Serif"/>
                <w:color w:val="000000" w:themeColor="text1"/>
              </w:rPr>
              <w:t xml:space="preserve"> в АНО ОДПО «Корпоративный университет Ульяновской области» </w:t>
            </w:r>
            <w:r w:rsidR="00B820BE" w:rsidRPr="00B15374">
              <w:rPr>
                <w:rFonts w:ascii="PT Astra Serif" w:hAnsi="PT Astra Serif"/>
                <w:color w:val="000000" w:themeColor="text1"/>
              </w:rPr>
              <w:t>был организован семинар</w:t>
            </w:r>
            <w:r w:rsidRPr="00B15374">
              <w:rPr>
                <w:rFonts w:ascii="PT Astra Serif" w:hAnsi="PT Astra Serif"/>
                <w:color w:val="000000" w:themeColor="text1"/>
              </w:rPr>
              <w:t xml:space="preserve"> «</w:t>
            </w:r>
            <w:r w:rsidR="00B820BE" w:rsidRPr="00B15374">
              <w:rPr>
                <w:rFonts w:ascii="PT Astra Serif" w:hAnsi="PT Astra Serif"/>
                <w:color w:val="000000" w:themeColor="text1"/>
              </w:rPr>
              <w:t>Актуальные вопросы проведения антикоррупционной экспертизы нормативных правовых актов и проектов нормативных правовых актов</w:t>
            </w:r>
            <w:r w:rsidR="00D878F3" w:rsidRPr="00B15374">
              <w:rPr>
                <w:rFonts w:ascii="PT Astra Serif" w:hAnsi="PT Astra Serif"/>
                <w:color w:val="000000" w:themeColor="text1"/>
              </w:rPr>
              <w:t>»;</w:t>
            </w:r>
          </w:p>
          <w:p w:rsidR="00D878F3" w:rsidRPr="00B15374" w:rsidRDefault="00D878F3" w:rsidP="00B15374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 w:rsidRPr="00B15374">
              <w:rPr>
                <w:rFonts w:ascii="PT Astra Serif" w:hAnsi="PT Astra Serif"/>
                <w:color w:val="000000" w:themeColor="text1"/>
              </w:rPr>
              <w:t xml:space="preserve">2) 11.04-04.06.2022 в </w:t>
            </w:r>
            <w:proofErr w:type="spellStart"/>
            <w:r w:rsidRPr="00B15374">
              <w:rPr>
                <w:rFonts w:ascii="PT Astra Serif" w:hAnsi="PT Astra Serif"/>
                <w:color w:val="000000" w:themeColor="text1"/>
              </w:rPr>
              <w:t>РАНХиГС</w:t>
            </w:r>
            <w:proofErr w:type="spellEnd"/>
            <w:r w:rsidRPr="00B15374">
              <w:rPr>
                <w:rFonts w:ascii="PT Astra Serif" w:hAnsi="PT Astra Serif"/>
                <w:color w:val="000000" w:themeColor="text1"/>
              </w:rPr>
              <w:t xml:space="preserve"> был организован курс по дополнительной профессиональной программе «Цифровая трансформация и цифровая экономика: технологии и компетенции».</w:t>
            </w:r>
          </w:p>
        </w:tc>
      </w:tr>
    </w:tbl>
    <w:p w:rsidR="005B70AB" w:rsidRPr="00B15374" w:rsidRDefault="005B70AB" w:rsidP="00B153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p w:rsidR="00F41058" w:rsidRPr="00B15374" w:rsidRDefault="005B70AB" w:rsidP="00B1537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B15374">
        <w:rPr>
          <w:rFonts w:ascii="PT Astra Serif" w:eastAsia="Times New Roman" w:hAnsi="PT Astra Serif" w:cs="Times New Roman"/>
          <w:color w:val="000000" w:themeColor="text1"/>
          <w:lang w:eastAsia="ru-RU"/>
        </w:rPr>
        <w:t>_______________</w:t>
      </w:r>
      <w:bookmarkEnd w:id="0"/>
    </w:p>
    <w:sectPr w:rsidR="00F41058" w:rsidRPr="00B15374" w:rsidSect="005B70AB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3A" w:rsidRDefault="007D7C3A">
      <w:pPr>
        <w:spacing w:after="0" w:line="240" w:lineRule="auto"/>
      </w:pPr>
      <w:r>
        <w:separator/>
      </w:r>
    </w:p>
  </w:endnote>
  <w:endnote w:type="continuationSeparator" w:id="0">
    <w:p w:rsidR="007D7C3A" w:rsidRDefault="007D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3A" w:rsidRDefault="007D7C3A">
      <w:pPr>
        <w:spacing w:after="0" w:line="240" w:lineRule="auto"/>
      </w:pPr>
      <w:r>
        <w:separator/>
      </w:r>
    </w:p>
  </w:footnote>
  <w:footnote w:type="continuationSeparator" w:id="0">
    <w:p w:rsidR="007D7C3A" w:rsidRDefault="007D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3436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A0751" w:rsidRPr="009A0751" w:rsidRDefault="00440817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AD492E">
          <w:rPr>
            <w:rFonts w:ascii="PT Astra Serif" w:hAnsi="PT Astra Serif"/>
            <w:noProof/>
            <w:sz w:val="28"/>
            <w:szCs w:val="28"/>
          </w:rPr>
          <w:t>4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A0751" w:rsidRDefault="007D7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24FE9"/>
    <w:rsid w:val="00031C85"/>
    <w:rsid w:val="00042362"/>
    <w:rsid w:val="00077030"/>
    <w:rsid w:val="00090A78"/>
    <w:rsid w:val="000E6060"/>
    <w:rsid w:val="000F1E92"/>
    <w:rsid w:val="00127004"/>
    <w:rsid w:val="001567E4"/>
    <w:rsid w:val="001731FD"/>
    <w:rsid w:val="00191E04"/>
    <w:rsid w:val="001B5155"/>
    <w:rsid w:val="001C3F31"/>
    <w:rsid w:val="001C3FDE"/>
    <w:rsid w:val="001E3691"/>
    <w:rsid w:val="001F1D31"/>
    <w:rsid w:val="001F1E83"/>
    <w:rsid w:val="00216FF4"/>
    <w:rsid w:val="00247821"/>
    <w:rsid w:val="002A4027"/>
    <w:rsid w:val="002F7E2E"/>
    <w:rsid w:val="00320595"/>
    <w:rsid w:val="0032305B"/>
    <w:rsid w:val="00341BC6"/>
    <w:rsid w:val="00364CC8"/>
    <w:rsid w:val="00391504"/>
    <w:rsid w:val="00424687"/>
    <w:rsid w:val="00426E82"/>
    <w:rsid w:val="00440817"/>
    <w:rsid w:val="00446CDC"/>
    <w:rsid w:val="004954AF"/>
    <w:rsid w:val="004B792A"/>
    <w:rsid w:val="00514FEB"/>
    <w:rsid w:val="00594D73"/>
    <w:rsid w:val="005A3D58"/>
    <w:rsid w:val="005A7C57"/>
    <w:rsid w:val="005B0F9C"/>
    <w:rsid w:val="005B4C39"/>
    <w:rsid w:val="005B70AB"/>
    <w:rsid w:val="005E225E"/>
    <w:rsid w:val="00634ED0"/>
    <w:rsid w:val="00670342"/>
    <w:rsid w:val="00674194"/>
    <w:rsid w:val="00675E52"/>
    <w:rsid w:val="006B1426"/>
    <w:rsid w:val="006E0E40"/>
    <w:rsid w:val="006E7359"/>
    <w:rsid w:val="006F0DC3"/>
    <w:rsid w:val="007361D6"/>
    <w:rsid w:val="007A71CD"/>
    <w:rsid w:val="007D30FB"/>
    <w:rsid w:val="007D7C3A"/>
    <w:rsid w:val="00820855"/>
    <w:rsid w:val="00846CE4"/>
    <w:rsid w:val="00847180"/>
    <w:rsid w:val="00853AED"/>
    <w:rsid w:val="00870E09"/>
    <w:rsid w:val="008A2520"/>
    <w:rsid w:val="00944898"/>
    <w:rsid w:val="00981B87"/>
    <w:rsid w:val="009916F9"/>
    <w:rsid w:val="009D5F2E"/>
    <w:rsid w:val="009E0A39"/>
    <w:rsid w:val="009E3602"/>
    <w:rsid w:val="00A1594D"/>
    <w:rsid w:val="00A84E70"/>
    <w:rsid w:val="00A96B8E"/>
    <w:rsid w:val="00AA7EC6"/>
    <w:rsid w:val="00AD242B"/>
    <w:rsid w:val="00AD492E"/>
    <w:rsid w:val="00B15374"/>
    <w:rsid w:val="00B243D2"/>
    <w:rsid w:val="00B50A5A"/>
    <w:rsid w:val="00B60D4E"/>
    <w:rsid w:val="00B820BE"/>
    <w:rsid w:val="00B832BB"/>
    <w:rsid w:val="00BC7E47"/>
    <w:rsid w:val="00C02818"/>
    <w:rsid w:val="00C10492"/>
    <w:rsid w:val="00C57A45"/>
    <w:rsid w:val="00C62134"/>
    <w:rsid w:val="00C85055"/>
    <w:rsid w:val="00CB253A"/>
    <w:rsid w:val="00D11424"/>
    <w:rsid w:val="00D878F3"/>
    <w:rsid w:val="00DC61E3"/>
    <w:rsid w:val="00E7321B"/>
    <w:rsid w:val="00E73F27"/>
    <w:rsid w:val="00EA2376"/>
    <w:rsid w:val="00EA7D0F"/>
    <w:rsid w:val="00F03AA5"/>
    <w:rsid w:val="00F21595"/>
    <w:rsid w:val="00F37229"/>
    <w:rsid w:val="00F41058"/>
    <w:rsid w:val="00F8488A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54B3-0C99-41DF-ADF6-64B954F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B51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5D0D-4A6C-4D4C-8D01-3993265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15</cp:revision>
  <cp:lastPrinted>2021-10-04T12:54:00Z</cp:lastPrinted>
  <dcterms:created xsi:type="dcterms:W3CDTF">2022-03-30T11:38:00Z</dcterms:created>
  <dcterms:modified xsi:type="dcterms:W3CDTF">2022-07-01T08:22:00Z</dcterms:modified>
</cp:coreProperties>
</file>