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06" w:rsidRDefault="00F03006">
      <w:pPr>
        <w:pStyle w:val="ConsPlusTitlePage"/>
      </w:pPr>
      <w:r>
        <w:t xml:space="preserve">Документ предоставлен </w:t>
      </w:r>
      <w:hyperlink r:id="rId4">
        <w:r>
          <w:rPr>
            <w:color w:val="0000FF"/>
          </w:rPr>
          <w:t>КонсультантПлюс</w:t>
        </w:r>
      </w:hyperlink>
      <w:r>
        <w:br/>
      </w:r>
    </w:p>
    <w:p w:rsidR="00F03006" w:rsidRDefault="00F03006">
      <w:pPr>
        <w:pStyle w:val="ConsPlusNormal"/>
        <w:jc w:val="both"/>
        <w:outlineLvl w:val="0"/>
      </w:pPr>
    </w:p>
    <w:p w:rsidR="00F03006" w:rsidRDefault="00F03006">
      <w:pPr>
        <w:pStyle w:val="ConsPlusNormal"/>
        <w:outlineLvl w:val="0"/>
      </w:pPr>
      <w:r>
        <w:t>Зарегистрировано в Минюсте России 21 декабря 2022 г. N 71742</w:t>
      </w:r>
    </w:p>
    <w:p w:rsidR="00F03006" w:rsidRDefault="00F03006">
      <w:pPr>
        <w:pStyle w:val="ConsPlusNormal"/>
        <w:pBdr>
          <w:bottom w:val="single" w:sz="6" w:space="0" w:color="auto"/>
        </w:pBdr>
        <w:spacing w:before="100" w:after="100"/>
        <w:jc w:val="both"/>
        <w:rPr>
          <w:sz w:val="2"/>
          <w:szCs w:val="2"/>
        </w:rPr>
      </w:pPr>
    </w:p>
    <w:p w:rsidR="00F03006" w:rsidRDefault="00F03006">
      <w:pPr>
        <w:pStyle w:val="ConsPlusNormal"/>
        <w:jc w:val="both"/>
      </w:pPr>
    </w:p>
    <w:p w:rsidR="00F03006" w:rsidRDefault="00F03006">
      <w:pPr>
        <w:pStyle w:val="ConsPlusTitle"/>
        <w:jc w:val="center"/>
      </w:pPr>
      <w:r>
        <w:t>МИНИСТЕРСТВО СТРОИТЕЛЬСТВА И ЖИЛИЩНО-КОММУНАЛЬНОГО</w:t>
      </w:r>
    </w:p>
    <w:p w:rsidR="00F03006" w:rsidRDefault="00F03006">
      <w:pPr>
        <w:pStyle w:val="ConsPlusTitle"/>
        <w:jc w:val="center"/>
      </w:pPr>
      <w:r>
        <w:t>ХОЗЯЙСТВА РОССИЙСКОЙ ФЕДЕРАЦИИ</w:t>
      </w:r>
    </w:p>
    <w:p w:rsidR="00F03006" w:rsidRDefault="00F03006">
      <w:pPr>
        <w:pStyle w:val="ConsPlusTitle"/>
        <w:jc w:val="both"/>
      </w:pPr>
    </w:p>
    <w:p w:rsidR="00F03006" w:rsidRDefault="00F03006">
      <w:pPr>
        <w:pStyle w:val="ConsPlusTitle"/>
        <w:jc w:val="center"/>
      </w:pPr>
      <w:r>
        <w:t>ПРИКАЗ</w:t>
      </w:r>
    </w:p>
    <w:p w:rsidR="00F03006" w:rsidRDefault="00F03006">
      <w:pPr>
        <w:pStyle w:val="ConsPlusTitle"/>
        <w:jc w:val="center"/>
      </w:pPr>
      <w:r>
        <w:t>от 26 октября 2022 г. N 904/пр</w:t>
      </w:r>
    </w:p>
    <w:p w:rsidR="00F03006" w:rsidRDefault="00F03006">
      <w:pPr>
        <w:pStyle w:val="ConsPlusTitle"/>
        <w:jc w:val="both"/>
      </w:pPr>
    </w:p>
    <w:p w:rsidR="00F03006" w:rsidRDefault="00F03006">
      <w:pPr>
        <w:pStyle w:val="ConsPlusTitle"/>
        <w:jc w:val="center"/>
      </w:pPr>
      <w:r>
        <w:t>ОБ УТВЕРЖДЕНИИ МЕТОДИКИ</w:t>
      </w:r>
    </w:p>
    <w:p w:rsidR="00F03006" w:rsidRDefault="00F03006">
      <w:pPr>
        <w:pStyle w:val="ConsPlusTitle"/>
        <w:jc w:val="center"/>
      </w:pPr>
      <w:r>
        <w:t>ОПРЕДЕЛЕНИЯ СМЕТНЫХ ЦЕН НА МАТЕРИАЛЫ, ИЗДЕЛИЯ, КОНСТРУКЦИИ</w:t>
      </w:r>
    </w:p>
    <w:p w:rsidR="00F03006" w:rsidRDefault="00F03006">
      <w:pPr>
        <w:pStyle w:val="ConsPlusTitle"/>
        <w:jc w:val="center"/>
      </w:pPr>
      <w:r>
        <w:t>И ОБОРУДОВАНИЕ</w:t>
      </w:r>
    </w:p>
    <w:p w:rsidR="00F03006" w:rsidRDefault="00F03006">
      <w:pPr>
        <w:pStyle w:val="ConsPlusNormal"/>
        <w:jc w:val="both"/>
      </w:pPr>
    </w:p>
    <w:p w:rsidR="00F03006" w:rsidRDefault="00F03006">
      <w:pPr>
        <w:pStyle w:val="ConsPlusNormal"/>
        <w:ind w:firstLine="540"/>
        <w:jc w:val="both"/>
      </w:pPr>
      <w:r>
        <w:t xml:space="preserve">В соответствии с </w:t>
      </w:r>
      <w:hyperlink r:id="rId5">
        <w:r>
          <w:rPr>
            <w:color w:val="0000FF"/>
          </w:rPr>
          <w:t>пунктами 31</w:t>
        </w:r>
      </w:hyperlink>
      <w:r>
        <w:t xml:space="preserve">, </w:t>
      </w:r>
      <w:hyperlink r:id="rId6">
        <w:r>
          <w:rPr>
            <w:color w:val="0000FF"/>
          </w:rPr>
          <w:t>32 статьи 1</w:t>
        </w:r>
      </w:hyperlink>
      <w:r>
        <w:t xml:space="preserve">, </w:t>
      </w:r>
      <w:hyperlink r:id="rId7">
        <w:r>
          <w:rPr>
            <w:color w:val="0000FF"/>
          </w:rPr>
          <w:t>пунктом 7.6 части 1 статьи 6</w:t>
        </w:r>
      </w:hyperlink>
      <w:r>
        <w:t xml:space="preserve">, </w:t>
      </w:r>
      <w:hyperlink r:id="rId8">
        <w:r>
          <w:rPr>
            <w:color w:val="0000FF"/>
          </w:rPr>
          <w:t>частью 6 статьи 8.3</w:t>
        </w:r>
      </w:hyperlink>
      <w:r>
        <w:t xml:space="preserve"> Градостроительного кодекса Российской Федерации (Собрание законодательства Российской Федерации, 2005, N 1, ст. 16; 2016, N 27, ст. 4302; 2017, N 31, ст. 4740), </w:t>
      </w:r>
      <w:hyperlink r:id="rId9">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2022, N 42, ст. 7189), приказываю:</w:t>
      </w:r>
    </w:p>
    <w:p w:rsidR="00F03006" w:rsidRDefault="00F03006">
      <w:pPr>
        <w:pStyle w:val="ConsPlusNormal"/>
        <w:spacing w:before="240"/>
        <w:ind w:firstLine="540"/>
        <w:jc w:val="both"/>
      </w:pPr>
      <w:r>
        <w:t xml:space="preserve">утвердить прилагаемую </w:t>
      </w:r>
      <w:hyperlink w:anchor="P32">
        <w:r>
          <w:rPr>
            <w:color w:val="0000FF"/>
          </w:rPr>
          <w:t>Методику</w:t>
        </w:r>
      </w:hyperlink>
      <w:r>
        <w:t xml:space="preserve"> определения сметных цен на материалы, изделия, конструкции и оборудование.</w:t>
      </w:r>
    </w:p>
    <w:p w:rsidR="00F03006" w:rsidRDefault="00F03006">
      <w:pPr>
        <w:pStyle w:val="ConsPlusNormal"/>
        <w:jc w:val="both"/>
      </w:pPr>
    </w:p>
    <w:p w:rsidR="00F03006" w:rsidRDefault="00F03006">
      <w:pPr>
        <w:pStyle w:val="ConsPlusNormal"/>
        <w:jc w:val="right"/>
      </w:pPr>
      <w:r>
        <w:t>Министр</w:t>
      </w:r>
    </w:p>
    <w:p w:rsidR="00F03006" w:rsidRDefault="00F03006">
      <w:pPr>
        <w:pStyle w:val="ConsPlusNormal"/>
        <w:jc w:val="right"/>
      </w:pPr>
      <w:r>
        <w:t>И.Э.ФАЙЗУЛЛИН</w:t>
      </w:r>
    </w:p>
    <w:p w:rsidR="00F03006" w:rsidRDefault="00F03006">
      <w:pPr>
        <w:pStyle w:val="ConsPlusNormal"/>
        <w:jc w:val="both"/>
      </w:pPr>
    </w:p>
    <w:p w:rsidR="00F03006" w:rsidRDefault="00F03006">
      <w:pPr>
        <w:pStyle w:val="ConsPlusNormal"/>
        <w:jc w:val="both"/>
      </w:pPr>
    </w:p>
    <w:p w:rsidR="00F03006" w:rsidRDefault="00F03006">
      <w:pPr>
        <w:pStyle w:val="ConsPlusNormal"/>
        <w:jc w:val="both"/>
      </w:pPr>
    </w:p>
    <w:p w:rsidR="00F03006" w:rsidRDefault="00F03006">
      <w:pPr>
        <w:pStyle w:val="ConsPlusNormal"/>
        <w:jc w:val="both"/>
      </w:pPr>
    </w:p>
    <w:p w:rsidR="00F03006" w:rsidRDefault="00F03006">
      <w:pPr>
        <w:pStyle w:val="ConsPlusNormal"/>
        <w:jc w:val="both"/>
      </w:pPr>
    </w:p>
    <w:p w:rsidR="00F03006" w:rsidRDefault="00F03006">
      <w:pPr>
        <w:pStyle w:val="ConsPlusNormal"/>
        <w:jc w:val="right"/>
        <w:outlineLvl w:val="0"/>
      </w:pPr>
      <w:r>
        <w:t>Приложение</w:t>
      </w:r>
    </w:p>
    <w:p w:rsidR="00F03006" w:rsidRDefault="00F03006">
      <w:pPr>
        <w:pStyle w:val="ConsPlusNormal"/>
        <w:jc w:val="both"/>
      </w:pPr>
    </w:p>
    <w:p w:rsidR="00F03006" w:rsidRDefault="00F03006">
      <w:pPr>
        <w:pStyle w:val="ConsPlusNormal"/>
        <w:jc w:val="right"/>
      </w:pPr>
      <w:r>
        <w:t>Утверждена</w:t>
      </w:r>
    </w:p>
    <w:p w:rsidR="00F03006" w:rsidRDefault="00F03006">
      <w:pPr>
        <w:pStyle w:val="ConsPlusNormal"/>
        <w:jc w:val="right"/>
      </w:pPr>
      <w:r>
        <w:t>приказом Министерства строительства</w:t>
      </w:r>
    </w:p>
    <w:p w:rsidR="00F03006" w:rsidRDefault="00F03006">
      <w:pPr>
        <w:pStyle w:val="ConsPlusNormal"/>
        <w:jc w:val="right"/>
      </w:pPr>
      <w:r>
        <w:t>и жилищно-коммунального хозяйства</w:t>
      </w:r>
    </w:p>
    <w:p w:rsidR="00F03006" w:rsidRDefault="00F03006">
      <w:pPr>
        <w:pStyle w:val="ConsPlusNormal"/>
        <w:jc w:val="right"/>
      </w:pPr>
      <w:r>
        <w:t>Российской Федерации</w:t>
      </w:r>
    </w:p>
    <w:p w:rsidR="00F03006" w:rsidRDefault="00F03006">
      <w:pPr>
        <w:pStyle w:val="ConsPlusNormal"/>
        <w:jc w:val="right"/>
      </w:pPr>
      <w:r>
        <w:t>от 26 октября 2022 г. N 904/пр</w:t>
      </w:r>
    </w:p>
    <w:p w:rsidR="00F03006" w:rsidRDefault="00F03006">
      <w:pPr>
        <w:pStyle w:val="ConsPlusNormal"/>
        <w:jc w:val="both"/>
      </w:pPr>
    </w:p>
    <w:p w:rsidR="00F03006" w:rsidRDefault="00F03006">
      <w:pPr>
        <w:pStyle w:val="ConsPlusTitle"/>
        <w:jc w:val="center"/>
      </w:pPr>
      <w:bookmarkStart w:id="0" w:name="P32"/>
      <w:bookmarkEnd w:id="0"/>
      <w:r>
        <w:t>МЕТОДИКА</w:t>
      </w:r>
    </w:p>
    <w:p w:rsidR="00F03006" w:rsidRDefault="00F03006">
      <w:pPr>
        <w:pStyle w:val="ConsPlusTitle"/>
        <w:jc w:val="center"/>
      </w:pPr>
      <w:r>
        <w:t>ОПРЕДЕЛЕНИЯ СМЕТНЫХ ЦЕН НА МАТЕРИАЛЫ, ИЗДЕЛИЯ, КОНСТРУКЦИИ</w:t>
      </w:r>
    </w:p>
    <w:p w:rsidR="00F03006" w:rsidRDefault="00F03006">
      <w:pPr>
        <w:pStyle w:val="ConsPlusTitle"/>
        <w:jc w:val="center"/>
      </w:pPr>
      <w:r>
        <w:t>И ОБОРУДОВАНИЕ</w:t>
      </w:r>
    </w:p>
    <w:p w:rsidR="00F03006" w:rsidRDefault="00F03006">
      <w:pPr>
        <w:pStyle w:val="ConsPlusNormal"/>
        <w:jc w:val="both"/>
      </w:pPr>
    </w:p>
    <w:p w:rsidR="00F03006" w:rsidRDefault="00F03006">
      <w:pPr>
        <w:pStyle w:val="ConsPlusTitle"/>
        <w:jc w:val="center"/>
        <w:outlineLvl w:val="1"/>
      </w:pPr>
      <w:r>
        <w:t>I. Общие положения</w:t>
      </w:r>
    </w:p>
    <w:p w:rsidR="00F03006" w:rsidRDefault="00F03006">
      <w:pPr>
        <w:pStyle w:val="ConsPlusNormal"/>
        <w:jc w:val="both"/>
      </w:pPr>
    </w:p>
    <w:p w:rsidR="00F03006" w:rsidRDefault="00F03006">
      <w:pPr>
        <w:pStyle w:val="ConsPlusNormal"/>
        <w:ind w:firstLine="540"/>
        <w:jc w:val="both"/>
      </w:pPr>
      <w:r>
        <w:t xml:space="preserve">1. Настоящая Методика устанавливает способы определения сметных цен на материалы, изделия, конструкции (далее - материальные ресурсы) и оборудование, размещаемые в федеральной государственной информационной системе ценообразования в строительстве, созданной в соответствии с </w:t>
      </w:r>
      <w:hyperlink r:id="rId10">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w:t>
      </w:r>
      <w:r>
        <w:lastRenderedPageBreak/>
        <w:t>7765) (далее - ФГИС ЦС).</w:t>
      </w:r>
    </w:p>
    <w:p w:rsidR="00F03006" w:rsidRDefault="00F03006">
      <w:pPr>
        <w:pStyle w:val="ConsPlusNormal"/>
        <w:spacing w:before="240"/>
        <w:ind w:firstLine="540"/>
        <w:jc w:val="both"/>
      </w:pPr>
      <w:r>
        <w:t xml:space="preserve">2. Сметные цены материальных ресурсов и оборудования применяются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1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 при определении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этапе архитектурно-строительного проектирования, подготовки сметы на снос объекта капитально строительства (далее - строительство) в соответствии с </w:t>
      </w:r>
      <w:hyperlink r:id="rId12">
        <w:r>
          <w:rPr>
            <w:color w:val="0000FF"/>
          </w:rPr>
          <w:t>частью 1 статьи 8.3</w:t>
        </w:r>
      </w:hyperlink>
      <w:r>
        <w:t xml:space="preserve"> Градостроительного кодекса Российской Федерации (Собрание законодательства Российской Федерации, 2005, N 1, ст. 16; 2016, N 27, ст. 4302; 2022, N 18, ст. 3010).</w:t>
      </w:r>
    </w:p>
    <w:p w:rsidR="00F03006" w:rsidRDefault="00F03006">
      <w:pPr>
        <w:pStyle w:val="ConsPlusNormal"/>
        <w:spacing w:before="240"/>
        <w:ind w:firstLine="540"/>
        <w:jc w:val="both"/>
      </w:pPr>
      <w:r>
        <w:t xml:space="preserve">3. Сметные цены материальных ресурсов и оборудования определяются по номенклатуре строительных ресурсов, учтенной классификатором строительных ресурсов, формируемым Министерством строительства и жилищно-коммунального хозяйства Российской Федерации в соответствии с </w:t>
      </w:r>
      <w:hyperlink r:id="rId13">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2021, N 29, ст. 5664) (далее соответственно - КСР, Правила мониторинга).</w:t>
      </w:r>
    </w:p>
    <w:p w:rsidR="00F03006" w:rsidRDefault="00F03006">
      <w:pPr>
        <w:pStyle w:val="ConsPlusNormal"/>
        <w:spacing w:before="240"/>
        <w:ind w:firstLine="540"/>
        <w:jc w:val="both"/>
      </w:pPr>
      <w:r>
        <w:t>4. Сметные цены материальных ресурсов и оборудования определяются в территориальном разрезе по субъектам Российской Федерации, частям территорий субъектов Российской Федерации (далее - ценовые зоны).</w:t>
      </w:r>
    </w:p>
    <w:p w:rsidR="00F03006" w:rsidRDefault="00F03006">
      <w:pPr>
        <w:pStyle w:val="ConsPlusNormal"/>
        <w:spacing w:before="240"/>
        <w:ind w:firstLine="540"/>
        <w:jc w:val="both"/>
      </w:pPr>
      <w:r>
        <w:t xml:space="preserve">5. Сметные цены материальных ресурсов и оборудования определяются без учета налога на добавленную стоимость (далее - НДС). Рекомендуемый образец таблицы сметных цен материальных ресурсов и оборудования приведен в </w:t>
      </w:r>
      <w:hyperlink w:anchor="P199">
        <w:r>
          <w:rPr>
            <w:color w:val="0000FF"/>
          </w:rPr>
          <w:t>приложении</w:t>
        </w:r>
      </w:hyperlink>
      <w:r>
        <w:t xml:space="preserve"> настоящей Методике.</w:t>
      </w:r>
    </w:p>
    <w:p w:rsidR="00F03006" w:rsidRDefault="00F03006">
      <w:pPr>
        <w:pStyle w:val="ConsPlusNormal"/>
        <w:spacing w:before="240"/>
        <w:ind w:firstLine="540"/>
        <w:jc w:val="both"/>
      </w:pPr>
      <w:r>
        <w:t>6. Сметные цены материальных ресурсов и оборудования определяются на основании информации об отпускных ценах материальных ресурсов и оборудования, затрат на перевозку материальных ресурсов и оборудования автомобильным транспортом в пределах соответствующей ценовой зоны, заготовительно-складских расходов (при наличии).</w:t>
      </w:r>
    </w:p>
    <w:p w:rsidR="00F03006" w:rsidRDefault="00F03006">
      <w:pPr>
        <w:pStyle w:val="ConsPlusNormal"/>
        <w:spacing w:before="240"/>
        <w:ind w:firstLine="540"/>
        <w:jc w:val="both"/>
      </w:pPr>
      <w:r>
        <w:t>7. Отпускные цены материальных ресурсов и оборудования определяются на основании агрегированных отпускных цен материальных ресурсов и оборудования или сводных (средневзвешенных по объемам) отпускных цен (цен реализации) производителей (импортеров) материальных ресурсов и оборудования, размещенных во ФГИС ЦС.</w:t>
      </w:r>
    </w:p>
    <w:p w:rsidR="00F03006" w:rsidRDefault="00F03006">
      <w:pPr>
        <w:pStyle w:val="ConsPlusNormal"/>
        <w:spacing w:before="240"/>
        <w:ind w:firstLine="540"/>
        <w:jc w:val="both"/>
      </w:pPr>
      <w:r>
        <w:t xml:space="preserve">8. Агрегированные отпускные цены материальных ресурсов и оборудования рассчитываются в соответствии с </w:t>
      </w:r>
      <w:hyperlink w:anchor="P59">
        <w:r>
          <w:rPr>
            <w:color w:val="0000FF"/>
          </w:rPr>
          <w:t>главой III</w:t>
        </w:r>
      </w:hyperlink>
      <w:r>
        <w:t xml:space="preserve"> Методики на принятую единицу измерения на основании отпускных цен (цен реализации) производителей (импортеров) таких материальных ресурсов и оборудования на территории ценовой зоны, а также цен предложений поставщиков соответствующих материальных ресурсов и оборудования, предлагаемых к реализации на территории соответствующей ценовой зоны.</w:t>
      </w:r>
    </w:p>
    <w:p w:rsidR="00F03006" w:rsidRDefault="00F03006">
      <w:pPr>
        <w:pStyle w:val="ConsPlusNormal"/>
        <w:jc w:val="both"/>
      </w:pPr>
    </w:p>
    <w:p w:rsidR="00F03006" w:rsidRDefault="00F03006">
      <w:pPr>
        <w:pStyle w:val="ConsPlusTitle"/>
        <w:jc w:val="center"/>
        <w:outlineLvl w:val="1"/>
      </w:pPr>
      <w:r>
        <w:t>II. Определение отпускных цен (цен реализации)</w:t>
      </w:r>
    </w:p>
    <w:p w:rsidR="00F03006" w:rsidRDefault="00F03006">
      <w:pPr>
        <w:pStyle w:val="ConsPlusTitle"/>
        <w:jc w:val="center"/>
      </w:pPr>
      <w:r>
        <w:t>производителей (импортеров) и цен предложений поставщиков</w:t>
      </w:r>
    </w:p>
    <w:p w:rsidR="00F03006" w:rsidRDefault="00F03006">
      <w:pPr>
        <w:pStyle w:val="ConsPlusTitle"/>
        <w:jc w:val="center"/>
      </w:pPr>
      <w:r>
        <w:t>материальных ресурсов и оборудования</w:t>
      </w:r>
    </w:p>
    <w:p w:rsidR="00F03006" w:rsidRDefault="00F03006">
      <w:pPr>
        <w:pStyle w:val="ConsPlusNormal"/>
        <w:jc w:val="both"/>
      </w:pPr>
    </w:p>
    <w:p w:rsidR="00F03006" w:rsidRDefault="00F03006">
      <w:pPr>
        <w:pStyle w:val="ConsPlusNormal"/>
        <w:ind w:firstLine="540"/>
        <w:jc w:val="both"/>
      </w:pPr>
      <w:r>
        <w:lastRenderedPageBreak/>
        <w:t>9. Отпускные цены (цены реализации) производителей материальных ресурсов и оборудования отечественного производства (произведенных на территории Российской Федерации) включают в себя стоимость тары, упаковки и реквизита (при наличии), стоимость комплекта запасных частей на гарантийный срок эксплуатации (для оборудования) (при наличии), затраты на погрузку материальных ресурсов и оборудования на транспортные средства у склада производителя на территории соответствующей ценовой зоны.</w:t>
      </w:r>
    </w:p>
    <w:p w:rsidR="00F03006" w:rsidRDefault="00F03006">
      <w:pPr>
        <w:pStyle w:val="ConsPlusNormal"/>
        <w:spacing w:before="240"/>
        <w:ind w:firstLine="540"/>
        <w:jc w:val="both"/>
      </w:pPr>
      <w:r>
        <w:t>10. Цены предложений поставщиков материальных ресурсов и оборудования, представленные в соответствующей ценовой зоне, включают затраты на транспортировку до склада поставщика, необходимые для их реализации на территории такой ценовой зоны, затраты снабженческих организаций, затраты на погрузку материальных ресурсов и оборудования на транспортные средства у склада поставщика на территории соответствующей ценовой зоны.</w:t>
      </w:r>
    </w:p>
    <w:p w:rsidR="00F03006" w:rsidRDefault="00F03006">
      <w:pPr>
        <w:pStyle w:val="ConsPlusNormal"/>
        <w:spacing w:before="240"/>
        <w:ind w:firstLine="540"/>
        <w:jc w:val="both"/>
      </w:pPr>
      <w:r>
        <w:t>11. Отпускные цены (цены реализации) импортеров материальных ресурсов и оборудования иностранного производства (ввезенных на территорию Российской Федерации) или цены предложений поставщиков материальных ресурсов и оборудования иностранного производства (ввезенных на территорию Российской Федерации) включают в себя стоимость тары, упаковки и реквизита (при наличии), стоимость комплекта запасных частей на гарантийный срок эксплуатации (для оборудования) (при наличии), затраты на погрузочно-разгрузочные работы, доставку материальных ресурсов и оборудования до склада импортера или поставщика и погрузку на транспортные средства на складе импортера или поставщика, находящегося на территории соответствующей ценовой зоны, затраты снабженческих организаций, а также затраты на уплату пошлин, налогов и сборов, другие таможенные расходы.</w:t>
      </w:r>
    </w:p>
    <w:p w:rsidR="00F03006" w:rsidRDefault="00F03006">
      <w:pPr>
        <w:pStyle w:val="ConsPlusNormal"/>
        <w:spacing w:before="240"/>
        <w:ind w:firstLine="540"/>
        <w:jc w:val="both"/>
      </w:pPr>
      <w:r>
        <w:t>12. Отпускные цены (цены реализации) производителей (импортеров) материальных ресурсов и оборудования, а также цены предложений поставщиков материальных ресурсов и оборудования определяются без учета НДС.</w:t>
      </w:r>
    </w:p>
    <w:p w:rsidR="00F03006" w:rsidRDefault="00F03006">
      <w:pPr>
        <w:pStyle w:val="ConsPlusNormal"/>
        <w:spacing w:before="240"/>
        <w:ind w:firstLine="540"/>
        <w:jc w:val="both"/>
      </w:pPr>
      <w:r>
        <w:t xml:space="preserve">13. В случае, если в соответствии с </w:t>
      </w:r>
      <w:hyperlink r:id="rId14">
        <w:r>
          <w:rPr>
            <w:color w:val="0000FF"/>
          </w:rPr>
          <w:t>пунктом 3</w:t>
        </w:r>
      </w:hyperlink>
      <w:r>
        <w:t xml:space="preserve"> Правил мониторинга (Собрание законодательства Российской Федерации, 2017, N 1, ст. 184; 2021, N 29, ст. 5664) в отчетном периоде производителем (импортером) или поставщиком не предоставлена информация об отпускных ценах (ценах реализации) или ценах предложений материальных ресурсов и оборудования, для определения агрегированных отпускных цен и расчета сметных цен материальных ресурсов и оборудования принимаются последние отпускные цены (цены реализации) или цены предложений таких материальных ресурсов и оборудования, представленные этим производителем (импортером) или поставщиком за предыдущие отчетные периоды, но не более года назад, если такие цены удовлетворяют условиям, указанным в </w:t>
      </w:r>
      <w:hyperlink w:anchor="P161">
        <w:r>
          <w:rPr>
            <w:color w:val="0000FF"/>
          </w:rPr>
          <w:t>главе V</w:t>
        </w:r>
      </w:hyperlink>
      <w:r>
        <w:t xml:space="preserve"> Методики. Годовой индекс пересчета, определяемый в соответствии с данными прогноза социально-экономического развития Российской Федерации на среднесрочный период, публикуемый Министерством экономического развития Российской Федерации в информационно-телекоммуникационной сети "Интернет" &lt;1&gt;, по строке "Инвестиции в основной капитал", к такой отпускной цене не применяется.</w:t>
      </w:r>
    </w:p>
    <w:p w:rsidR="00F03006" w:rsidRDefault="00F03006">
      <w:pPr>
        <w:pStyle w:val="ConsPlusNormal"/>
        <w:spacing w:before="240"/>
        <w:ind w:firstLine="540"/>
        <w:jc w:val="both"/>
      </w:pPr>
      <w:r>
        <w:t>--------------------------------</w:t>
      </w:r>
    </w:p>
    <w:p w:rsidR="00F03006" w:rsidRDefault="00F03006">
      <w:pPr>
        <w:pStyle w:val="ConsPlusNormal"/>
        <w:spacing w:before="240"/>
        <w:ind w:firstLine="540"/>
        <w:jc w:val="both"/>
      </w:pPr>
      <w:r>
        <w:t xml:space="preserve">&lt;1&gt; </w:t>
      </w:r>
      <w:hyperlink r:id="rId15">
        <w:r>
          <w:rPr>
            <w:color w:val="0000FF"/>
          </w:rPr>
          <w:t>Пункт 54</w:t>
        </w:r>
      </w:hyperlink>
      <w:r>
        <w:t xml:space="preserve"> Правил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утвержденных постановлением Правительства Российской Федерации от 14 ноября 2015 г. N 1234 (Собрание законодательства Российской Федерации, 2015, N 47, ст. 6598).</w:t>
      </w:r>
    </w:p>
    <w:p w:rsidR="00F03006" w:rsidRDefault="00F03006">
      <w:pPr>
        <w:pStyle w:val="ConsPlusNormal"/>
        <w:jc w:val="both"/>
      </w:pPr>
    </w:p>
    <w:p w:rsidR="00F03006" w:rsidRDefault="00F03006">
      <w:pPr>
        <w:pStyle w:val="ConsPlusTitle"/>
        <w:jc w:val="center"/>
        <w:outlineLvl w:val="1"/>
      </w:pPr>
      <w:bookmarkStart w:id="1" w:name="P59"/>
      <w:bookmarkEnd w:id="1"/>
      <w:r>
        <w:t>III. Расчет агрегированных отпускных цен материальных</w:t>
      </w:r>
    </w:p>
    <w:p w:rsidR="00F03006" w:rsidRDefault="00F03006">
      <w:pPr>
        <w:pStyle w:val="ConsPlusTitle"/>
        <w:jc w:val="center"/>
      </w:pPr>
      <w:r>
        <w:t>ресурсов и оборудования</w:t>
      </w:r>
    </w:p>
    <w:p w:rsidR="00F03006" w:rsidRDefault="00F03006">
      <w:pPr>
        <w:pStyle w:val="ConsPlusNormal"/>
        <w:jc w:val="both"/>
      </w:pPr>
    </w:p>
    <w:p w:rsidR="00F03006" w:rsidRDefault="00F03006">
      <w:pPr>
        <w:pStyle w:val="ConsPlusNormal"/>
        <w:ind w:firstLine="540"/>
        <w:jc w:val="both"/>
      </w:pPr>
      <w:r>
        <w:t xml:space="preserve">14. Расчет агрегированных отпускных цен материальных ресурсов и оборудования осуществляется с учетом информации об отпускных ценах (ценах реализации) производителей (импортеров) материальных ресурсов и оборудования и объемах реализации, предоставляемой в государственное учреждение, подведомственное Министерству строительства и жилищно-коммунального хозяйства Российской Федерации и уполномоченное на создание и эксплуатацию ФГИС ЦС (далее - Учреждение), в соответствии с </w:t>
      </w:r>
      <w:hyperlink r:id="rId16">
        <w:r>
          <w:rPr>
            <w:color w:val="0000FF"/>
          </w:rPr>
          <w:t>пунктом 3</w:t>
        </w:r>
      </w:hyperlink>
      <w:r>
        <w:t xml:space="preserve"> Правил мониторинга и размещаемой в ФГИС ЦС производителями (импортерами) таких материальных ресурсов и оборудования, или сведениях о ценах предложений, размещаемых в ФГИС ЦС поставщиками соответствующих материальных ресурсов и оборудования, включенными в Перечень юридических лиц и индивидуальных предпринимателей, предоставляющих информацию, необходимую для определения сметных цен строительных ресурсов &lt;2&gt; (далее - перечень юридических лиц), в соответствии с формами предоставления информации, предусмотренными </w:t>
      </w:r>
      <w:hyperlink r:id="rId17">
        <w:r>
          <w:rPr>
            <w:color w:val="0000FF"/>
          </w:rPr>
          <w:t>пунктом 24</w:t>
        </w:r>
      </w:hyperlink>
      <w:r>
        <w:t xml:space="preserve"> Правил мониторинга (Собрание законодательства Российской Федерации, 2017, N 1, ст. 184; 2018, N 19, ст. 2738), удовлетворяющие условиям, указанным в </w:t>
      </w:r>
      <w:hyperlink w:anchor="P161">
        <w:r>
          <w:rPr>
            <w:color w:val="0000FF"/>
          </w:rPr>
          <w:t>главе V</w:t>
        </w:r>
      </w:hyperlink>
      <w:r>
        <w:t xml:space="preserve"> настоящей Методики.</w:t>
      </w:r>
    </w:p>
    <w:p w:rsidR="00F03006" w:rsidRDefault="00F03006">
      <w:pPr>
        <w:pStyle w:val="ConsPlusNormal"/>
        <w:spacing w:before="240"/>
        <w:ind w:firstLine="540"/>
        <w:jc w:val="both"/>
      </w:pPr>
      <w:r>
        <w:t>--------------------------------</w:t>
      </w:r>
    </w:p>
    <w:p w:rsidR="00F03006" w:rsidRDefault="00F03006">
      <w:pPr>
        <w:pStyle w:val="ConsPlusNormal"/>
        <w:spacing w:before="240"/>
        <w:ind w:firstLine="540"/>
        <w:jc w:val="both"/>
      </w:pPr>
      <w:r>
        <w:t xml:space="preserve">&lt;2&gt; </w:t>
      </w:r>
      <w:hyperlink r:id="rId18">
        <w:r>
          <w:rPr>
            <w:color w:val="0000FF"/>
          </w:rPr>
          <w:t>Пункт 10</w:t>
        </w:r>
      </w:hyperlink>
      <w:r>
        <w:t xml:space="preserve"> Правил мониторинга (Собрание законодательства Российской Федерации, 2017, N 1, ст. 184; 2021, N 29, ст. 5664).</w:t>
      </w:r>
    </w:p>
    <w:p w:rsidR="00F03006" w:rsidRDefault="00F03006">
      <w:pPr>
        <w:pStyle w:val="ConsPlusNormal"/>
        <w:jc w:val="both"/>
      </w:pPr>
    </w:p>
    <w:p w:rsidR="00F03006" w:rsidRDefault="00F03006">
      <w:pPr>
        <w:pStyle w:val="ConsPlusNormal"/>
        <w:ind w:firstLine="540"/>
        <w:jc w:val="both"/>
      </w:pPr>
      <w:r>
        <w:t>Агрегированная отпускная цена материальных ресурсов и оборудования (ОЦ</w:t>
      </w:r>
      <w:r>
        <w:rPr>
          <w:vertAlign w:val="subscript"/>
        </w:rPr>
        <w:t>а</w:t>
      </w:r>
      <w:r>
        <w:t>) рассчитывается как величина, взвешенная с учетом количества источников информации об отпускных ценах (ценах реализации) производителей (импортеров) и ценах предложений поставщиков материальных ресурсов и оборудования по формуле (1):</w:t>
      </w:r>
    </w:p>
    <w:p w:rsidR="00F03006" w:rsidRDefault="00F03006">
      <w:pPr>
        <w:pStyle w:val="ConsPlusNormal"/>
        <w:jc w:val="both"/>
      </w:pPr>
    </w:p>
    <w:p w:rsidR="00F03006" w:rsidRDefault="00F03006">
      <w:pPr>
        <w:pStyle w:val="ConsPlusNormal"/>
        <w:jc w:val="center"/>
      </w:pPr>
      <w:r>
        <w:rPr>
          <w:noProof/>
          <w:position w:val="-27"/>
        </w:rPr>
        <w:drawing>
          <wp:inline distT="0" distB="0" distL="0" distR="0">
            <wp:extent cx="324612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6120" cy="502920"/>
                    </a:xfrm>
                    <a:prstGeom prst="rect">
                      <a:avLst/>
                    </a:prstGeom>
                    <a:noFill/>
                    <a:ln>
                      <a:noFill/>
                    </a:ln>
                  </pic:spPr>
                </pic:pic>
              </a:graphicData>
            </a:graphic>
          </wp:inline>
        </w:drawing>
      </w:r>
    </w:p>
    <w:p w:rsidR="00F03006" w:rsidRDefault="00F030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F03006">
        <w:tc>
          <w:tcPr>
            <w:tcW w:w="1247" w:type="dxa"/>
            <w:tcBorders>
              <w:top w:val="nil"/>
              <w:left w:val="nil"/>
              <w:bottom w:val="nil"/>
              <w:right w:val="nil"/>
            </w:tcBorders>
          </w:tcPr>
          <w:p w:rsidR="00F03006" w:rsidRDefault="00F03006">
            <w:pPr>
              <w:pStyle w:val="ConsPlusNormal"/>
              <w:ind w:firstLine="283"/>
              <w:jc w:val="both"/>
            </w:pPr>
            <w:r>
              <w:t>где:</w:t>
            </w:r>
          </w:p>
        </w:tc>
        <w:tc>
          <w:tcPr>
            <w:tcW w:w="7824" w:type="dxa"/>
            <w:tcBorders>
              <w:top w:val="nil"/>
              <w:left w:val="nil"/>
              <w:bottom w:val="nil"/>
              <w:right w:val="nil"/>
            </w:tcBorders>
          </w:tcPr>
          <w:p w:rsidR="00F03006" w:rsidRDefault="00F03006">
            <w:pPr>
              <w:pStyle w:val="ConsPlusNormal"/>
              <w:jc w:val="both"/>
            </w:pPr>
          </w:p>
        </w:tc>
      </w:tr>
      <w:tr w:rsidR="00F03006">
        <w:tc>
          <w:tcPr>
            <w:tcW w:w="1247" w:type="dxa"/>
            <w:tcBorders>
              <w:top w:val="nil"/>
              <w:left w:val="nil"/>
              <w:bottom w:val="nil"/>
              <w:right w:val="nil"/>
            </w:tcBorders>
          </w:tcPr>
          <w:p w:rsidR="00F03006" w:rsidRDefault="00F03006">
            <w:pPr>
              <w:pStyle w:val="ConsPlusNormal"/>
              <w:ind w:firstLine="283"/>
              <w:jc w:val="both"/>
            </w:pPr>
            <w:r>
              <w:t>n</w:t>
            </w:r>
          </w:p>
        </w:tc>
        <w:tc>
          <w:tcPr>
            <w:tcW w:w="7824" w:type="dxa"/>
            <w:tcBorders>
              <w:top w:val="nil"/>
              <w:left w:val="nil"/>
              <w:bottom w:val="nil"/>
              <w:right w:val="nil"/>
            </w:tcBorders>
          </w:tcPr>
          <w:p w:rsidR="00F03006" w:rsidRDefault="00F03006">
            <w:pPr>
              <w:pStyle w:val="ConsPlusNormal"/>
              <w:jc w:val="both"/>
            </w:pPr>
            <w:r>
              <w:t xml:space="preserve">- количество данных об отпускных ценах (ценах реализации) производителей (импортеров) материальных ресурсов и оборудования, принятое для расчета, удовлетворяющее условиям, указанным в </w:t>
            </w:r>
            <w:hyperlink w:anchor="P161">
              <w:r>
                <w:rPr>
                  <w:color w:val="0000FF"/>
                </w:rPr>
                <w:t>главе V</w:t>
              </w:r>
            </w:hyperlink>
            <w:r>
              <w:t xml:space="preserve"> настоящей Методики;</w:t>
            </w:r>
          </w:p>
        </w:tc>
      </w:tr>
      <w:tr w:rsidR="00F03006">
        <w:tc>
          <w:tcPr>
            <w:tcW w:w="1247" w:type="dxa"/>
            <w:tcBorders>
              <w:top w:val="nil"/>
              <w:left w:val="nil"/>
              <w:bottom w:val="nil"/>
              <w:right w:val="nil"/>
            </w:tcBorders>
          </w:tcPr>
          <w:p w:rsidR="00F03006" w:rsidRDefault="00F03006">
            <w:pPr>
              <w:pStyle w:val="ConsPlusNormal"/>
              <w:ind w:firstLine="283"/>
              <w:jc w:val="both"/>
            </w:pPr>
            <w:r>
              <w:t>m</w:t>
            </w:r>
          </w:p>
        </w:tc>
        <w:tc>
          <w:tcPr>
            <w:tcW w:w="7824" w:type="dxa"/>
            <w:tcBorders>
              <w:top w:val="nil"/>
              <w:left w:val="nil"/>
              <w:bottom w:val="nil"/>
              <w:right w:val="nil"/>
            </w:tcBorders>
          </w:tcPr>
          <w:p w:rsidR="00F03006" w:rsidRDefault="00F03006">
            <w:pPr>
              <w:pStyle w:val="ConsPlusNormal"/>
              <w:jc w:val="both"/>
            </w:pPr>
            <w:r>
              <w:t xml:space="preserve">- количество данных о ценах предложений поставщиков материальных ресурсов и оборудования, принятое для расчета, удовлетворяющее условиям, указанным в </w:t>
            </w:r>
            <w:hyperlink w:anchor="P161">
              <w:r>
                <w:rPr>
                  <w:color w:val="0000FF"/>
                </w:rPr>
                <w:t>главе V</w:t>
              </w:r>
            </w:hyperlink>
            <w:r>
              <w:t xml:space="preserve"> настоящей Методики;</w:t>
            </w:r>
          </w:p>
        </w:tc>
      </w:tr>
      <w:tr w:rsidR="00F03006">
        <w:tc>
          <w:tcPr>
            <w:tcW w:w="1247" w:type="dxa"/>
            <w:tcBorders>
              <w:top w:val="nil"/>
              <w:left w:val="nil"/>
              <w:bottom w:val="nil"/>
              <w:right w:val="nil"/>
            </w:tcBorders>
          </w:tcPr>
          <w:p w:rsidR="00F03006" w:rsidRDefault="00F03006">
            <w:pPr>
              <w:pStyle w:val="ConsPlusNormal"/>
              <w:ind w:firstLine="283"/>
              <w:jc w:val="both"/>
            </w:pPr>
            <w:r>
              <w:t>Х</w:t>
            </w:r>
            <w:r>
              <w:rPr>
                <w:vertAlign w:val="subscript"/>
              </w:rPr>
              <w:t>сцпр</w:t>
            </w:r>
          </w:p>
        </w:tc>
        <w:tc>
          <w:tcPr>
            <w:tcW w:w="7824" w:type="dxa"/>
            <w:tcBorders>
              <w:top w:val="nil"/>
              <w:left w:val="nil"/>
              <w:bottom w:val="nil"/>
              <w:right w:val="nil"/>
            </w:tcBorders>
          </w:tcPr>
          <w:p w:rsidR="00F03006" w:rsidRDefault="00F03006">
            <w:pPr>
              <w:pStyle w:val="ConsPlusNormal"/>
              <w:jc w:val="both"/>
            </w:pPr>
            <w:r>
              <w:t xml:space="preserve">- сводная (средневзвешенная по объемам) отпускная цена (цена реализации) производителей (импортеров) материальных ресурсов и оборудования, рассчитанная по </w:t>
            </w:r>
            <w:hyperlink w:anchor="P110">
              <w:r>
                <w:rPr>
                  <w:color w:val="0000FF"/>
                </w:rPr>
                <w:t>формуле (4)</w:t>
              </w:r>
            </w:hyperlink>
            <w:r>
              <w:t xml:space="preserve"> настоящей Методики, рублей;</w:t>
            </w:r>
          </w:p>
        </w:tc>
      </w:tr>
      <w:tr w:rsidR="00F03006">
        <w:tc>
          <w:tcPr>
            <w:tcW w:w="1247" w:type="dxa"/>
            <w:tcBorders>
              <w:top w:val="nil"/>
              <w:left w:val="nil"/>
              <w:bottom w:val="nil"/>
              <w:right w:val="nil"/>
            </w:tcBorders>
          </w:tcPr>
          <w:p w:rsidR="00F03006" w:rsidRDefault="00F03006">
            <w:pPr>
              <w:pStyle w:val="ConsPlusNormal"/>
              <w:ind w:firstLine="283"/>
              <w:jc w:val="both"/>
            </w:pPr>
            <w:r>
              <w:t>Х</w:t>
            </w:r>
            <w:r>
              <w:rPr>
                <w:vertAlign w:val="subscript"/>
              </w:rPr>
              <w:t>сцп</w:t>
            </w:r>
          </w:p>
        </w:tc>
        <w:tc>
          <w:tcPr>
            <w:tcW w:w="7824" w:type="dxa"/>
            <w:tcBorders>
              <w:top w:val="nil"/>
              <w:left w:val="nil"/>
              <w:bottom w:val="nil"/>
              <w:right w:val="nil"/>
            </w:tcBorders>
          </w:tcPr>
          <w:p w:rsidR="00F03006" w:rsidRDefault="00F03006">
            <w:pPr>
              <w:pStyle w:val="ConsPlusNormal"/>
              <w:jc w:val="both"/>
            </w:pPr>
            <w:r>
              <w:t xml:space="preserve">- сводная (среднеарифметическая) цена предложений поставщиков материальных ресурсов и оборудования, рассчитанная по </w:t>
            </w:r>
            <w:hyperlink w:anchor="P123">
              <w:r>
                <w:rPr>
                  <w:color w:val="0000FF"/>
                </w:rPr>
                <w:t>формуле (5)</w:t>
              </w:r>
            </w:hyperlink>
            <w:r>
              <w:t xml:space="preserve"> настоящей Методики, рублей.</w:t>
            </w:r>
          </w:p>
        </w:tc>
      </w:tr>
    </w:tbl>
    <w:p w:rsidR="00F03006" w:rsidRDefault="00F03006">
      <w:pPr>
        <w:pStyle w:val="ConsPlusNormal"/>
        <w:jc w:val="both"/>
      </w:pPr>
    </w:p>
    <w:p w:rsidR="00F03006" w:rsidRDefault="00F03006">
      <w:pPr>
        <w:pStyle w:val="ConsPlusNormal"/>
        <w:ind w:firstLine="540"/>
        <w:jc w:val="both"/>
      </w:pPr>
      <w:r>
        <w:t>При отсутствии в ценовой зоне производителей (импортеров) материальных ресурсов и оборудования, включенных в перечень юридических лиц (n = 0), их агрегированная отпускная цена определяется как среднеарифметическое значение цен предложений, представленных в ФГИС ЦС поставщиками таких материальных ресурсов и оборудования.</w:t>
      </w:r>
    </w:p>
    <w:p w:rsidR="00F03006" w:rsidRDefault="00F03006">
      <w:pPr>
        <w:pStyle w:val="ConsPlusNormal"/>
        <w:spacing w:before="240"/>
        <w:ind w:firstLine="540"/>
        <w:jc w:val="both"/>
      </w:pPr>
      <w:r>
        <w:t>В случае, если количество производителей (импортеров) материальных ресурсов и оборудования, представивших в ФГИС ЦС информацию о таких отпускных ценах (ценах реализации), больше количества поставщиков, представивших в ФГИС ЦС информацию о ценах предложений таких материальных ресурсов и оборудования (n &gt; m), агрегированная отпускная цена материальных ресурсов и оборудования (ОЦ</w:t>
      </w:r>
      <w:r>
        <w:rPr>
          <w:vertAlign w:val="subscript"/>
        </w:rPr>
        <w:t>а</w:t>
      </w:r>
      <w:r>
        <w:t>) определяется по формуле (2):</w:t>
      </w:r>
    </w:p>
    <w:p w:rsidR="00F03006" w:rsidRDefault="00F03006">
      <w:pPr>
        <w:pStyle w:val="ConsPlusNormal"/>
        <w:jc w:val="both"/>
      </w:pPr>
    </w:p>
    <w:p w:rsidR="00F03006" w:rsidRDefault="00F03006">
      <w:pPr>
        <w:pStyle w:val="ConsPlusNormal"/>
        <w:jc w:val="center"/>
      </w:pPr>
      <w:r>
        <w:rPr>
          <w:noProof/>
          <w:position w:val="-24"/>
        </w:rPr>
        <w:drawing>
          <wp:inline distT="0" distB="0" distL="0" distR="0">
            <wp:extent cx="2777490" cy="4686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7490" cy="468630"/>
                    </a:xfrm>
                    <a:prstGeom prst="rect">
                      <a:avLst/>
                    </a:prstGeom>
                    <a:noFill/>
                    <a:ln>
                      <a:noFill/>
                    </a:ln>
                  </pic:spPr>
                </pic:pic>
              </a:graphicData>
            </a:graphic>
          </wp:inline>
        </w:drawing>
      </w:r>
    </w:p>
    <w:p w:rsidR="00F03006" w:rsidRDefault="00F030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F03006">
        <w:tc>
          <w:tcPr>
            <w:tcW w:w="1247" w:type="dxa"/>
            <w:tcBorders>
              <w:top w:val="nil"/>
              <w:left w:val="nil"/>
              <w:bottom w:val="nil"/>
              <w:right w:val="nil"/>
            </w:tcBorders>
          </w:tcPr>
          <w:p w:rsidR="00F03006" w:rsidRDefault="00F03006">
            <w:pPr>
              <w:pStyle w:val="ConsPlusNormal"/>
              <w:ind w:firstLine="283"/>
              <w:jc w:val="both"/>
            </w:pPr>
            <w:r>
              <w:t>где:</w:t>
            </w:r>
          </w:p>
        </w:tc>
        <w:tc>
          <w:tcPr>
            <w:tcW w:w="7824" w:type="dxa"/>
            <w:tcBorders>
              <w:top w:val="nil"/>
              <w:left w:val="nil"/>
              <w:bottom w:val="nil"/>
              <w:right w:val="nil"/>
            </w:tcBorders>
          </w:tcPr>
          <w:p w:rsidR="00F03006" w:rsidRDefault="00F03006">
            <w:pPr>
              <w:pStyle w:val="ConsPlusNormal"/>
              <w:jc w:val="both"/>
            </w:pPr>
          </w:p>
        </w:tc>
      </w:tr>
      <w:tr w:rsidR="00F03006">
        <w:tc>
          <w:tcPr>
            <w:tcW w:w="1247" w:type="dxa"/>
            <w:tcBorders>
              <w:top w:val="nil"/>
              <w:left w:val="nil"/>
              <w:bottom w:val="nil"/>
              <w:right w:val="nil"/>
            </w:tcBorders>
          </w:tcPr>
          <w:p w:rsidR="00F03006" w:rsidRDefault="00F03006">
            <w:pPr>
              <w:pStyle w:val="ConsPlusNormal"/>
              <w:ind w:firstLine="283"/>
              <w:jc w:val="both"/>
            </w:pPr>
            <w:r>
              <w:t>n</w:t>
            </w:r>
          </w:p>
        </w:tc>
        <w:tc>
          <w:tcPr>
            <w:tcW w:w="7824" w:type="dxa"/>
            <w:tcBorders>
              <w:top w:val="nil"/>
              <w:left w:val="nil"/>
              <w:bottom w:val="nil"/>
              <w:right w:val="nil"/>
            </w:tcBorders>
          </w:tcPr>
          <w:p w:rsidR="00F03006" w:rsidRDefault="00F03006">
            <w:pPr>
              <w:pStyle w:val="ConsPlusNormal"/>
              <w:jc w:val="both"/>
            </w:pPr>
            <w:r>
              <w:t xml:space="preserve">- количество данных об отпускных ценах (ценах реализации) производителей (импортеров) материальных ресурсов и оборудования, принятое для расчета, удовлетворяющее условиям, указанным в </w:t>
            </w:r>
            <w:hyperlink w:anchor="P161">
              <w:r>
                <w:rPr>
                  <w:color w:val="0000FF"/>
                </w:rPr>
                <w:t>главе V</w:t>
              </w:r>
            </w:hyperlink>
            <w:r>
              <w:t xml:space="preserve"> настоящей Методики;</w:t>
            </w:r>
          </w:p>
        </w:tc>
      </w:tr>
      <w:tr w:rsidR="00F03006">
        <w:tc>
          <w:tcPr>
            <w:tcW w:w="1247" w:type="dxa"/>
            <w:tcBorders>
              <w:top w:val="nil"/>
              <w:left w:val="nil"/>
              <w:bottom w:val="nil"/>
              <w:right w:val="nil"/>
            </w:tcBorders>
          </w:tcPr>
          <w:p w:rsidR="00F03006" w:rsidRDefault="00F03006">
            <w:pPr>
              <w:pStyle w:val="ConsPlusNormal"/>
              <w:ind w:firstLine="283"/>
              <w:jc w:val="both"/>
            </w:pPr>
            <w:r>
              <w:t>m</w:t>
            </w:r>
          </w:p>
        </w:tc>
        <w:tc>
          <w:tcPr>
            <w:tcW w:w="7824" w:type="dxa"/>
            <w:tcBorders>
              <w:top w:val="nil"/>
              <w:left w:val="nil"/>
              <w:bottom w:val="nil"/>
              <w:right w:val="nil"/>
            </w:tcBorders>
          </w:tcPr>
          <w:p w:rsidR="00F03006" w:rsidRDefault="00F03006">
            <w:pPr>
              <w:pStyle w:val="ConsPlusNormal"/>
              <w:jc w:val="both"/>
            </w:pPr>
            <w:r>
              <w:t xml:space="preserve">- количество данных о ценах предложений поставщиков материальных ресурсов и оборудования, принятое для расчета, удовлетворяющее условиям, указанным в </w:t>
            </w:r>
            <w:hyperlink w:anchor="P161">
              <w:r>
                <w:rPr>
                  <w:color w:val="0000FF"/>
                </w:rPr>
                <w:t>главе V</w:t>
              </w:r>
            </w:hyperlink>
            <w:r>
              <w:t xml:space="preserve"> настоящей Методики;</w:t>
            </w:r>
          </w:p>
        </w:tc>
      </w:tr>
      <w:tr w:rsidR="00F03006">
        <w:tc>
          <w:tcPr>
            <w:tcW w:w="1247" w:type="dxa"/>
            <w:tcBorders>
              <w:top w:val="nil"/>
              <w:left w:val="nil"/>
              <w:bottom w:val="nil"/>
              <w:right w:val="nil"/>
            </w:tcBorders>
          </w:tcPr>
          <w:p w:rsidR="00F03006" w:rsidRDefault="00F03006">
            <w:pPr>
              <w:pStyle w:val="ConsPlusNormal"/>
              <w:ind w:firstLine="283"/>
              <w:jc w:val="both"/>
            </w:pPr>
            <w:r>
              <w:t>Х</w:t>
            </w:r>
            <w:r>
              <w:rPr>
                <w:vertAlign w:val="subscript"/>
              </w:rPr>
              <w:t>сцпр</w:t>
            </w:r>
          </w:p>
        </w:tc>
        <w:tc>
          <w:tcPr>
            <w:tcW w:w="7824" w:type="dxa"/>
            <w:tcBorders>
              <w:top w:val="nil"/>
              <w:left w:val="nil"/>
              <w:bottom w:val="nil"/>
              <w:right w:val="nil"/>
            </w:tcBorders>
          </w:tcPr>
          <w:p w:rsidR="00F03006" w:rsidRDefault="00F03006">
            <w:pPr>
              <w:pStyle w:val="ConsPlusNormal"/>
              <w:jc w:val="both"/>
            </w:pPr>
            <w:r>
              <w:t xml:space="preserve">- сводная (средневзвешенная по объемам) отпускная цена (цена реализации) производителей (импортеров) материальных ресурсов и оборудования, рассчитанная по </w:t>
            </w:r>
            <w:hyperlink w:anchor="P110">
              <w:r>
                <w:rPr>
                  <w:color w:val="0000FF"/>
                </w:rPr>
                <w:t>формуле (4)</w:t>
              </w:r>
            </w:hyperlink>
            <w:r>
              <w:t xml:space="preserve"> настоящей Методики, рублей;</w:t>
            </w:r>
          </w:p>
        </w:tc>
      </w:tr>
      <w:tr w:rsidR="00F03006">
        <w:tc>
          <w:tcPr>
            <w:tcW w:w="1247" w:type="dxa"/>
            <w:tcBorders>
              <w:top w:val="nil"/>
              <w:left w:val="nil"/>
              <w:bottom w:val="nil"/>
              <w:right w:val="nil"/>
            </w:tcBorders>
          </w:tcPr>
          <w:p w:rsidR="00F03006" w:rsidRDefault="00F03006">
            <w:pPr>
              <w:pStyle w:val="ConsPlusNormal"/>
              <w:ind w:firstLine="283"/>
              <w:jc w:val="both"/>
            </w:pPr>
            <w:r>
              <w:t>Х</w:t>
            </w:r>
            <w:r>
              <w:rPr>
                <w:vertAlign w:val="subscript"/>
              </w:rPr>
              <w:t>сцп</w:t>
            </w:r>
          </w:p>
        </w:tc>
        <w:tc>
          <w:tcPr>
            <w:tcW w:w="7824" w:type="dxa"/>
            <w:tcBorders>
              <w:top w:val="nil"/>
              <w:left w:val="nil"/>
              <w:bottom w:val="nil"/>
              <w:right w:val="nil"/>
            </w:tcBorders>
          </w:tcPr>
          <w:p w:rsidR="00F03006" w:rsidRDefault="00F03006">
            <w:pPr>
              <w:pStyle w:val="ConsPlusNormal"/>
              <w:jc w:val="both"/>
            </w:pPr>
            <w:r>
              <w:t xml:space="preserve">- сводная (среднеарифметическая) цена предложений поставщиков материальных ресурсов и оборудования, рассчитанная по </w:t>
            </w:r>
            <w:hyperlink w:anchor="P123">
              <w:r>
                <w:rPr>
                  <w:color w:val="0000FF"/>
                </w:rPr>
                <w:t>формуле (5)</w:t>
              </w:r>
            </w:hyperlink>
            <w:r>
              <w:t xml:space="preserve"> настоящей Методики, рублей.</w:t>
            </w:r>
          </w:p>
        </w:tc>
      </w:tr>
    </w:tbl>
    <w:p w:rsidR="00F03006" w:rsidRDefault="00F03006">
      <w:pPr>
        <w:pStyle w:val="ConsPlusNormal"/>
        <w:jc w:val="both"/>
      </w:pPr>
    </w:p>
    <w:p w:rsidR="00F03006" w:rsidRDefault="00F03006">
      <w:pPr>
        <w:pStyle w:val="ConsPlusNormal"/>
        <w:ind w:firstLine="540"/>
        <w:jc w:val="both"/>
      </w:pPr>
      <w:r>
        <w:t>В случае, если количество производителей (импортеров), представивших в ФГИС ЦС информацию об отпускных ценах (ценах реализации) материальных ресурсов и оборудования, меньше либо равно количеству поставщиков, представивших в ФГИС ЦС информацию о ценах предложений таких материальных ресурсов и оборудования (n &lt;= m), агрегированная отпускная цена материальных ресурсов и оборудования (ОЦ</w:t>
      </w:r>
      <w:r>
        <w:rPr>
          <w:vertAlign w:val="subscript"/>
        </w:rPr>
        <w:t>а</w:t>
      </w:r>
      <w:r>
        <w:t>) рассчитывается по формуле (3):</w:t>
      </w:r>
    </w:p>
    <w:p w:rsidR="00F03006" w:rsidRDefault="00F03006">
      <w:pPr>
        <w:pStyle w:val="ConsPlusNormal"/>
        <w:jc w:val="both"/>
      </w:pPr>
    </w:p>
    <w:p w:rsidR="00F03006" w:rsidRDefault="00F03006">
      <w:pPr>
        <w:pStyle w:val="ConsPlusNormal"/>
        <w:jc w:val="center"/>
      </w:pPr>
      <w:r>
        <w:rPr>
          <w:noProof/>
          <w:position w:val="-24"/>
        </w:rPr>
        <w:drawing>
          <wp:inline distT="0" distB="0" distL="0" distR="0">
            <wp:extent cx="2183130" cy="4686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3130" cy="468630"/>
                    </a:xfrm>
                    <a:prstGeom prst="rect">
                      <a:avLst/>
                    </a:prstGeom>
                    <a:noFill/>
                    <a:ln>
                      <a:noFill/>
                    </a:ln>
                  </pic:spPr>
                </pic:pic>
              </a:graphicData>
            </a:graphic>
          </wp:inline>
        </w:drawing>
      </w:r>
    </w:p>
    <w:p w:rsidR="00F03006" w:rsidRDefault="00F030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F03006">
        <w:tc>
          <w:tcPr>
            <w:tcW w:w="1247" w:type="dxa"/>
            <w:tcBorders>
              <w:top w:val="nil"/>
              <w:left w:val="nil"/>
              <w:bottom w:val="nil"/>
              <w:right w:val="nil"/>
            </w:tcBorders>
          </w:tcPr>
          <w:p w:rsidR="00F03006" w:rsidRDefault="00F03006">
            <w:pPr>
              <w:pStyle w:val="ConsPlusNormal"/>
              <w:ind w:firstLine="283"/>
              <w:jc w:val="both"/>
            </w:pPr>
            <w:r>
              <w:t>где:</w:t>
            </w:r>
          </w:p>
        </w:tc>
        <w:tc>
          <w:tcPr>
            <w:tcW w:w="7824" w:type="dxa"/>
            <w:tcBorders>
              <w:top w:val="nil"/>
              <w:left w:val="nil"/>
              <w:bottom w:val="nil"/>
              <w:right w:val="nil"/>
            </w:tcBorders>
          </w:tcPr>
          <w:p w:rsidR="00F03006" w:rsidRDefault="00F03006">
            <w:pPr>
              <w:pStyle w:val="ConsPlusNormal"/>
              <w:jc w:val="both"/>
            </w:pPr>
          </w:p>
        </w:tc>
      </w:tr>
      <w:tr w:rsidR="00F03006">
        <w:tc>
          <w:tcPr>
            <w:tcW w:w="1247" w:type="dxa"/>
            <w:tcBorders>
              <w:top w:val="nil"/>
              <w:left w:val="nil"/>
              <w:bottom w:val="nil"/>
              <w:right w:val="nil"/>
            </w:tcBorders>
          </w:tcPr>
          <w:p w:rsidR="00F03006" w:rsidRDefault="00F03006">
            <w:pPr>
              <w:pStyle w:val="ConsPlusNormal"/>
              <w:ind w:firstLine="283"/>
              <w:jc w:val="both"/>
            </w:pPr>
            <w:r>
              <w:t>Х</w:t>
            </w:r>
            <w:r>
              <w:rPr>
                <w:vertAlign w:val="subscript"/>
              </w:rPr>
              <w:t>сцпр</w:t>
            </w:r>
          </w:p>
        </w:tc>
        <w:tc>
          <w:tcPr>
            <w:tcW w:w="7824" w:type="dxa"/>
            <w:tcBorders>
              <w:top w:val="nil"/>
              <w:left w:val="nil"/>
              <w:bottom w:val="nil"/>
              <w:right w:val="nil"/>
            </w:tcBorders>
          </w:tcPr>
          <w:p w:rsidR="00F03006" w:rsidRDefault="00F03006">
            <w:pPr>
              <w:pStyle w:val="ConsPlusNormal"/>
              <w:jc w:val="both"/>
            </w:pPr>
            <w:r>
              <w:t xml:space="preserve">- сводная (средневзвешенная по объемам) отпускная цена (цена реализации) производителей (импортеров) материальных ресурсов и оборудования, рассчитанная по </w:t>
            </w:r>
            <w:hyperlink w:anchor="P110">
              <w:r>
                <w:rPr>
                  <w:color w:val="0000FF"/>
                </w:rPr>
                <w:t>формуле (4)</w:t>
              </w:r>
            </w:hyperlink>
            <w:r>
              <w:t xml:space="preserve"> настоящей Методики, рублей;</w:t>
            </w:r>
          </w:p>
        </w:tc>
      </w:tr>
      <w:tr w:rsidR="00F03006">
        <w:tc>
          <w:tcPr>
            <w:tcW w:w="1247" w:type="dxa"/>
            <w:tcBorders>
              <w:top w:val="nil"/>
              <w:left w:val="nil"/>
              <w:bottom w:val="nil"/>
              <w:right w:val="nil"/>
            </w:tcBorders>
          </w:tcPr>
          <w:p w:rsidR="00F03006" w:rsidRDefault="00F03006">
            <w:pPr>
              <w:pStyle w:val="ConsPlusNormal"/>
              <w:ind w:firstLine="283"/>
              <w:jc w:val="both"/>
            </w:pPr>
            <w:r>
              <w:t>Х</w:t>
            </w:r>
            <w:r>
              <w:rPr>
                <w:vertAlign w:val="subscript"/>
              </w:rPr>
              <w:t>сцп</w:t>
            </w:r>
          </w:p>
        </w:tc>
        <w:tc>
          <w:tcPr>
            <w:tcW w:w="7824" w:type="dxa"/>
            <w:tcBorders>
              <w:top w:val="nil"/>
              <w:left w:val="nil"/>
              <w:bottom w:val="nil"/>
              <w:right w:val="nil"/>
            </w:tcBorders>
          </w:tcPr>
          <w:p w:rsidR="00F03006" w:rsidRDefault="00F03006">
            <w:pPr>
              <w:pStyle w:val="ConsPlusNormal"/>
              <w:jc w:val="both"/>
            </w:pPr>
            <w:r>
              <w:t xml:space="preserve">- сводная (среднеарифметическая) цена предложений поставщиков </w:t>
            </w:r>
            <w:r>
              <w:lastRenderedPageBreak/>
              <w:t xml:space="preserve">материальных ресурсов и оборудования, рассчитанная по </w:t>
            </w:r>
            <w:hyperlink w:anchor="P123">
              <w:r>
                <w:rPr>
                  <w:color w:val="0000FF"/>
                </w:rPr>
                <w:t>формуле (5)</w:t>
              </w:r>
            </w:hyperlink>
            <w:r>
              <w:t xml:space="preserve"> настоящей Методики, рублей.</w:t>
            </w:r>
          </w:p>
        </w:tc>
      </w:tr>
    </w:tbl>
    <w:p w:rsidR="00F03006" w:rsidRDefault="00F03006">
      <w:pPr>
        <w:pStyle w:val="ConsPlusNormal"/>
        <w:jc w:val="both"/>
      </w:pPr>
    </w:p>
    <w:p w:rsidR="00F03006" w:rsidRDefault="00F03006">
      <w:pPr>
        <w:pStyle w:val="ConsPlusNormal"/>
        <w:ind w:firstLine="540"/>
        <w:jc w:val="both"/>
      </w:pPr>
      <w:r>
        <w:t>15. Сводные (средневзвешенные по объемам) отпускные цены (цены реализации) производителей (импортеров) материальных ресурсов и оборудования рассчитываются как средневзвешенные по объему реализации показатели отпускных цен (цен реализации), представленных в ФГИС ЦС производителями (импортерами) таких материальных ресурсов и оборудования, по формуле (4):</w:t>
      </w:r>
    </w:p>
    <w:p w:rsidR="00F03006" w:rsidRDefault="00F03006">
      <w:pPr>
        <w:pStyle w:val="ConsPlusNormal"/>
        <w:jc w:val="both"/>
      </w:pPr>
    </w:p>
    <w:p w:rsidR="00F03006" w:rsidRDefault="00F03006">
      <w:pPr>
        <w:pStyle w:val="ConsPlusNormal"/>
        <w:jc w:val="center"/>
      </w:pPr>
      <w:bookmarkStart w:id="2" w:name="P110"/>
      <w:bookmarkEnd w:id="2"/>
      <w:r>
        <w:rPr>
          <w:noProof/>
          <w:position w:val="-28"/>
        </w:rPr>
        <w:drawing>
          <wp:inline distT="0" distB="0" distL="0" distR="0">
            <wp:extent cx="3463290" cy="5143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63290" cy="514350"/>
                    </a:xfrm>
                    <a:prstGeom prst="rect">
                      <a:avLst/>
                    </a:prstGeom>
                    <a:noFill/>
                    <a:ln>
                      <a:noFill/>
                    </a:ln>
                  </pic:spPr>
                </pic:pic>
              </a:graphicData>
            </a:graphic>
          </wp:inline>
        </w:drawing>
      </w:r>
    </w:p>
    <w:p w:rsidR="00F03006" w:rsidRDefault="00F030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7483"/>
      </w:tblGrid>
      <w:tr w:rsidR="00F03006">
        <w:tc>
          <w:tcPr>
            <w:tcW w:w="1531" w:type="dxa"/>
            <w:tcBorders>
              <w:top w:val="nil"/>
              <w:left w:val="nil"/>
              <w:bottom w:val="nil"/>
              <w:right w:val="nil"/>
            </w:tcBorders>
          </w:tcPr>
          <w:p w:rsidR="00F03006" w:rsidRDefault="00F03006">
            <w:pPr>
              <w:pStyle w:val="ConsPlusNormal"/>
              <w:ind w:firstLine="283"/>
              <w:jc w:val="both"/>
            </w:pPr>
            <w:r>
              <w:t>где:</w:t>
            </w:r>
          </w:p>
        </w:tc>
        <w:tc>
          <w:tcPr>
            <w:tcW w:w="7483" w:type="dxa"/>
            <w:tcBorders>
              <w:top w:val="nil"/>
              <w:left w:val="nil"/>
              <w:bottom w:val="nil"/>
              <w:right w:val="nil"/>
            </w:tcBorders>
          </w:tcPr>
          <w:p w:rsidR="00F03006" w:rsidRDefault="00F03006">
            <w:pPr>
              <w:pStyle w:val="ConsPlusNormal"/>
              <w:jc w:val="both"/>
            </w:pPr>
          </w:p>
        </w:tc>
      </w:tr>
      <w:tr w:rsidR="00F03006">
        <w:tc>
          <w:tcPr>
            <w:tcW w:w="1531" w:type="dxa"/>
            <w:tcBorders>
              <w:top w:val="nil"/>
              <w:left w:val="nil"/>
              <w:bottom w:val="nil"/>
              <w:right w:val="nil"/>
            </w:tcBorders>
          </w:tcPr>
          <w:p w:rsidR="00F03006" w:rsidRDefault="00F03006">
            <w:pPr>
              <w:pStyle w:val="ConsPlusNormal"/>
              <w:ind w:firstLine="283"/>
              <w:jc w:val="both"/>
            </w:pPr>
            <w:r>
              <w:t>Х</w:t>
            </w:r>
            <w:r>
              <w:rPr>
                <w:vertAlign w:val="subscript"/>
              </w:rPr>
              <w:t>сцпр</w:t>
            </w:r>
          </w:p>
        </w:tc>
        <w:tc>
          <w:tcPr>
            <w:tcW w:w="7483" w:type="dxa"/>
            <w:tcBorders>
              <w:top w:val="nil"/>
              <w:left w:val="nil"/>
              <w:bottom w:val="nil"/>
              <w:right w:val="nil"/>
            </w:tcBorders>
          </w:tcPr>
          <w:p w:rsidR="00F03006" w:rsidRDefault="00F03006">
            <w:pPr>
              <w:pStyle w:val="ConsPlusNormal"/>
              <w:jc w:val="both"/>
            </w:pPr>
            <w:r>
              <w:t>- сводная (средневзвешенная по объемам) отпускная цена (цена реализации) производителей (импортеров) материального ресурса и оборудования, рублей;</w:t>
            </w:r>
          </w:p>
        </w:tc>
      </w:tr>
      <w:tr w:rsidR="00F03006">
        <w:tc>
          <w:tcPr>
            <w:tcW w:w="1531" w:type="dxa"/>
            <w:tcBorders>
              <w:top w:val="nil"/>
              <w:left w:val="nil"/>
              <w:bottom w:val="nil"/>
              <w:right w:val="nil"/>
            </w:tcBorders>
          </w:tcPr>
          <w:p w:rsidR="00F03006" w:rsidRDefault="00F03006">
            <w:pPr>
              <w:pStyle w:val="ConsPlusNormal"/>
              <w:ind w:firstLine="283"/>
              <w:jc w:val="both"/>
            </w:pPr>
            <w:r>
              <w:t>x</w:t>
            </w:r>
            <w:r>
              <w:rPr>
                <w:vertAlign w:val="subscript"/>
              </w:rPr>
              <w:t>1</w:t>
            </w:r>
            <w:r>
              <w:t>; x</w:t>
            </w:r>
            <w:r>
              <w:rPr>
                <w:vertAlign w:val="subscript"/>
              </w:rPr>
              <w:t>2</w:t>
            </w:r>
            <w:r>
              <w:t>; x</w:t>
            </w:r>
            <w:r>
              <w:rPr>
                <w:vertAlign w:val="subscript"/>
              </w:rPr>
              <w:t>n</w:t>
            </w:r>
          </w:p>
        </w:tc>
        <w:tc>
          <w:tcPr>
            <w:tcW w:w="7483" w:type="dxa"/>
            <w:tcBorders>
              <w:top w:val="nil"/>
              <w:left w:val="nil"/>
              <w:bottom w:val="nil"/>
              <w:right w:val="nil"/>
            </w:tcBorders>
          </w:tcPr>
          <w:p w:rsidR="00F03006" w:rsidRDefault="00F03006">
            <w:pPr>
              <w:pStyle w:val="ConsPlusNormal"/>
              <w:jc w:val="both"/>
            </w:pPr>
            <w:r>
              <w:t xml:space="preserve">- отпускные цены (цены реализации), представленные 1, 2 ... n производителями (импортерами) материальных ресурсов и оборудования за отчетный период (предоставление информации осуществляется по окончании отчетного периода), удовлетворяющие условиям, указанным в </w:t>
            </w:r>
            <w:hyperlink w:anchor="P161">
              <w:r>
                <w:rPr>
                  <w:color w:val="0000FF"/>
                </w:rPr>
                <w:t>главе V</w:t>
              </w:r>
            </w:hyperlink>
            <w:r>
              <w:t xml:space="preserve"> настоящей Методики, рублей;</w:t>
            </w:r>
          </w:p>
        </w:tc>
      </w:tr>
      <w:tr w:rsidR="00F03006">
        <w:tc>
          <w:tcPr>
            <w:tcW w:w="1531" w:type="dxa"/>
            <w:tcBorders>
              <w:top w:val="nil"/>
              <w:left w:val="nil"/>
              <w:bottom w:val="nil"/>
              <w:right w:val="nil"/>
            </w:tcBorders>
          </w:tcPr>
          <w:p w:rsidR="00F03006" w:rsidRDefault="00F03006">
            <w:pPr>
              <w:pStyle w:val="ConsPlusNormal"/>
              <w:ind w:firstLine="283"/>
              <w:jc w:val="both"/>
            </w:pPr>
            <w:r>
              <w:t>v</w:t>
            </w:r>
            <w:r>
              <w:rPr>
                <w:vertAlign w:val="subscript"/>
              </w:rPr>
              <w:t>1</w:t>
            </w:r>
            <w:r>
              <w:t>; v</w:t>
            </w:r>
            <w:r>
              <w:rPr>
                <w:vertAlign w:val="subscript"/>
              </w:rPr>
              <w:t>2</w:t>
            </w:r>
            <w:r>
              <w:t>; v</w:t>
            </w:r>
            <w:r>
              <w:rPr>
                <w:vertAlign w:val="subscript"/>
              </w:rPr>
              <w:t>n</w:t>
            </w:r>
          </w:p>
        </w:tc>
        <w:tc>
          <w:tcPr>
            <w:tcW w:w="7483" w:type="dxa"/>
            <w:tcBorders>
              <w:top w:val="nil"/>
              <w:left w:val="nil"/>
              <w:bottom w:val="nil"/>
              <w:right w:val="nil"/>
            </w:tcBorders>
          </w:tcPr>
          <w:p w:rsidR="00F03006" w:rsidRDefault="00F03006">
            <w:pPr>
              <w:pStyle w:val="ConsPlusNormal"/>
              <w:jc w:val="both"/>
            </w:pPr>
            <w:r>
              <w:t>- объем реализации производителей (импортеров) материальных ресурсов и оборудования за отчетный период (предоставление информации осуществляется по окончании отчетного периода) в натуральном выражении, единиц.</w:t>
            </w:r>
          </w:p>
        </w:tc>
      </w:tr>
    </w:tbl>
    <w:p w:rsidR="00F03006" w:rsidRDefault="00F03006">
      <w:pPr>
        <w:pStyle w:val="ConsPlusNormal"/>
        <w:jc w:val="both"/>
      </w:pPr>
    </w:p>
    <w:p w:rsidR="00F03006" w:rsidRDefault="00F03006">
      <w:pPr>
        <w:pStyle w:val="ConsPlusNormal"/>
        <w:ind w:firstLine="540"/>
        <w:jc w:val="both"/>
      </w:pPr>
      <w:r>
        <w:t>16. Сводные (среднеарифметические) цены предложений поставщиков материальных ресурсов и оборудования рассчитываются как среднее арифметическое значение показателей цен предложений, представленных в ФГИС ЦС поставщиками таких материальных ресурсов и оборудования, и определяются по формуле (5):</w:t>
      </w:r>
    </w:p>
    <w:p w:rsidR="00F03006" w:rsidRDefault="00F03006">
      <w:pPr>
        <w:pStyle w:val="ConsPlusNormal"/>
        <w:jc w:val="both"/>
      </w:pPr>
    </w:p>
    <w:p w:rsidR="00F03006" w:rsidRDefault="00F03006">
      <w:pPr>
        <w:pStyle w:val="ConsPlusNormal"/>
        <w:jc w:val="center"/>
      </w:pPr>
      <w:bookmarkStart w:id="3" w:name="P123"/>
      <w:bookmarkEnd w:id="3"/>
      <w:r>
        <w:rPr>
          <w:noProof/>
          <w:position w:val="-24"/>
        </w:rPr>
        <w:drawing>
          <wp:inline distT="0" distB="0" distL="0" distR="0">
            <wp:extent cx="2057400" cy="4686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468630"/>
                    </a:xfrm>
                    <a:prstGeom prst="rect">
                      <a:avLst/>
                    </a:prstGeom>
                    <a:noFill/>
                    <a:ln>
                      <a:noFill/>
                    </a:ln>
                  </pic:spPr>
                </pic:pic>
              </a:graphicData>
            </a:graphic>
          </wp:inline>
        </w:drawing>
      </w:r>
    </w:p>
    <w:p w:rsidR="00F03006" w:rsidRDefault="00F030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27"/>
      </w:tblGrid>
      <w:tr w:rsidR="00F03006">
        <w:tc>
          <w:tcPr>
            <w:tcW w:w="1587" w:type="dxa"/>
            <w:tcBorders>
              <w:top w:val="nil"/>
              <w:left w:val="nil"/>
              <w:bottom w:val="nil"/>
              <w:right w:val="nil"/>
            </w:tcBorders>
          </w:tcPr>
          <w:p w:rsidR="00F03006" w:rsidRDefault="00F03006">
            <w:pPr>
              <w:pStyle w:val="ConsPlusNormal"/>
              <w:ind w:firstLine="283"/>
              <w:jc w:val="both"/>
            </w:pPr>
            <w:r>
              <w:t>где:</w:t>
            </w:r>
          </w:p>
        </w:tc>
        <w:tc>
          <w:tcPr>
            <w:tcW w:w="7427" w:type="dxa"/>
            <w:tcBorders>
              <w:top w:val="nil"/>
              <w:left w:val="nil"/>
              <w:bottom w:val="nil"/>
              <w:right w:val="nil"/>
            </w:tcBorders>
          </w:tcPr>
          <w:p w:rsidR="00F03006" w:rsidRDefault="00F03006">
            <w:pPr>
              <w:pStyle w:val="ConsPlusNormal"/>
              <w:jc w:val="both"/>
            </w:pPr>
          </w:p>
        </w:tc>
      </w:tr>
      <w:tr w:rsidR="00F03006">
        <w:tc>
          <w:tcPr>
            <w:tcW w:w="1587" w:type="dxa"/>
            <w:tcBorders>
              <w:top w:val="nil"/>
              <w:left w:val="nil"/>
              <w:bottom w:val="nil"/>
              <w:right w:val="nil"/>
            </w:tcBorders>
          </w:tcPr>
          <w:p w:rsidR="00F03006" w:rsidRDefault="00F03006">
            <w:pPr>
              <w:pStyle w:val="ConsPlusNormal"/>
              <w:ind w:firstLine="283"/>
              <w:jc w:val="both"/>
            </w:pPr>
            <w:r>
              <w:t>Х</w:t>
            </w:r>
            <w:r>
              <w:rPr>
                <w:vertAlign w:val="subscript"/>
              </w:rPr>
              <w:t>сцп</w:t>
            </w:r>
          </w:p>
        </w:tc>
        <w:tc>
          <w:tcPr>
            <w:tcW w:w="7427" w:type="dxa"/>
            <w:tcBorders>
              <w:top w:val="nil"/>
              <w:left w:val="nil"/>
              <w:bottom w:val="nil"/>
              <w:right w:val="nil"/>
            </w:tcBorders>
          </w:tcPr>
          <w:p w:rsidR="00F03006" w:rsidRDefault="00F03006">
            <w:pPr>
              <w:pStyle w:val="ConsPlusNormal"/>
              <w:jc w:val="both"/>
            </w:pPr>
            <w:r>
              <w:t>- сводная (среднеарифметическая) цена предложений поставщиков материальных ресурсов и оборудования, рублей;</w:t>
            </w:r>
          </w:p>
        </w:tc>
      </w:tr>
      <w:tr w:rsidR="00F03006">
        <w:tc>
          <w:tcPr>
            <w:tcW w:w="1587" w:type="dxa"/>
            <w:tcBorders>
              <w:top w:val="nil"/>
              <w:left w:val="nil"/>
              <w:bottom w:val="nil"/>
              <w:right w:val="nil"/>
            </w:tcBorders>
          </w:tcPr>
          <w:p w:rsidR="00F03006" w:rsidRDefault="00F03006">
            <w:pPr>
              <w:pStyle w:val="ConsPlusNormal"/>
              <w:ind w:firstLine="283"/>
              <w:jc w:val="both"/>
            </w:pPr>
            <w:r>
              <w:t>x</w:t>
            </w:r>
            <w:r>
              <w:rPr>
                <w:vertAlign w:val="subscript"/>
              </w:rPr>
              <w:t>1</w:t>
            </w:r>
            <w:r>
              <w:t>; x</w:t>
            </w:r>
            <w:r>
              <w:rPr>
                <w:vertAlign w:val="subscript"/>
              </w:rPr>
              <w:t>2</w:t>
            </w:r>
            <w:r>
              <w:t>; x</w:t>
            </w:r>
            <w:r>
              <w:rPr>
                <w:vertAlign w:val="subscript"/>
              </w:rPr>
              <w:t>m</w:t>
            </w:r>
          </w:p>
        </w:tc>
        <w:tc>
          <w:tcPr>
            <w:tcW w:w="7427" w:type="dxa"/>
            <w:tcBorders>
              <w:top w:val="nil"/>
              <w:left w:val="nil"/>
              <w:bottom w:val="nil"/>
              <w:right w:val="nil"/>
            </w:tcBorders>
          </w:tcPr>
          <w:p w:rsidR="00F03006" w:rsidRDefault="00F03006">
            <w:pPr>
              <w:pStyle w:val="ConsPlusNormal"/>
              <w:jc w:val="both"/>
            </w:pPr>
            <w:r>
              <w:t xml:space="preserve">- цены предложений материального ресурса и оборудования, представленные поставщиками 1, 2 ... m за отчетный период, удовлетворяющие условиям, указанным в </w:t>
            </w:r>
            <w:hyperlink w:anchor="P161">
              <w:r>
                <w:rPr>
                  <w:color w:val="0000FF"/>
                </w:rPr>
                <w:t>главе V</w:t>
              </w:r>
            </w:hyperlink>
            <w:r>
              <w:t xml:space="preserve"> настоящей Методики, рублей.</w:t>
            </w:r>
          </w:p>
        </w:tc>
      </w:tr>
    </w:tbl>
    <w:p w:rsidR="00F03006" w:rsidRDefault="00F03006">
      <w:pPr>
        <w:pStyle w:val="ConsPlusNormal"/>
        <w:jc w:val="both"/>
      </w:pPr>
    </w:p>
    <w:p w:rsidR="00F03006" w:rsidRDefault="00F03006">
      <w:pPr>
        <w:pStyle w:val="ConsPlusNormal"/>
        <w:ind w:firstLine="540"/>
        <w:jc w:val="both"/>
      </w:pPr>
      <w:r>
        <w:t xml:space="preserve">В случае, если поставщиком в течение отчетного периода представлены данные о ценах предложений нескольких материальных ресурсов и оборудования соответствующих одной позиции КСР, то x1; x2; xm принимаются как среднеарифметические значения таких </w:t>
      </w:r>
      <w:r>
        <w:lastRenderedPageBreak/>
        <w:t xml:space="preserve">цен предложений поставщика, удовлетворяющих условиям, указанным в </w:t>
      </w:r>
      <w:hyperlink w:anchor="P161">
        <w:r>
          <w:rPr>
            <w:color w:val="0000FF"/>
          </w:rPr>
          <w:t>главе V</w:t>
        </w:r>
      </w:hyperlink>
      <w:r>
        <w:t xml:space="preserve"> настоящей Методики, рублей.</w:t>
      </w:r>
    </w:p>
    <w:p w:rsidR="00F03006" w:rsidRDefault="00F03006">
      <w:pPr>
        <w:pStyle w:val="ConsPlusNormal"/>
        <w:jc w:val="both"/>
      </w:pPr>
    </w:p>
    <w:p w:rsidR="00F03006" w:rsidRDefault="00F03006">
      <w:pPr>
        <w:pStyle w:val="ConsPlusTitle"/>
        <w:jc w:val="center"/>
        <w:outlineLvl w:val="1"/>
      </w:pPr>
      <w:bookmarkStart w:id="4" w:name="P134"/>
      <w:bookmarkEnd w:id="4"/>
      <w:r>
        <w:t>IV. Определение сметных цен материальных ресурсов</w:t>
      </w:r>
    </w:p>
    <w:p w:rsidR="00F03006" w:rsidRDefault="00F03006">
      <w:pPr>
        <w:pStyle w:val="ConsPlusTitle"/>
        <w:jc w:val="center"/>
      </w:pPr>
      <w:r>
        <w:t>и оборудования</w:t>
      </w:r>
    </w:p>
    <w:p w:rsidR="00F03006" w:rsidRDefault="00F03006">
      <w:pPr>
        <w:pStyle w:val="ConsPlusNormal"/>
        <w:jc w:val="both"/>
      </w:pPr>
    </w:p>
    <w:p w:rsidR="00F03006" w:rsidRDefault="00F03006">
      <w:pPr>
        <w:pStyle w:val="ConsPlusNormal"/>
        <w:ind w:firstLine="540"/>
        <w:jc w:val="both"/>
      </w:pPr>
      <w:r>
        <w:t xml:space="preserve">17. Сметная цена материальных ресурсов и оборудования учитывает агрегированные отпускные цены материальных ресурсов и оборудования или сводные (средневзвешенные по объемам) отпускные цены (цены реализации) производителей (импортеров) материальных ресурсов на основании выполнения условий, определенных в </w:t>
      </w:r>
      <w:hyperlink w:anchor="P161">
        <w:r>
          <w:rPr>
            <w:color w:val="0000FF"/>
          </w:rPr>
          <w:t>главы V</w:t>
        </w:r>
      </w:hyperlink>
      <w:r>
        <w:t xml:space="preserve"> Методики, затраты на перевозку до приобъектного склада, заготовительно-складские расходы (при наличии) и определяется по формуле (6):</w:t>
      </w:r>
    </w:p>
    <w:p w:rsidR="00F03006" w:rsidRDefault="00F03006">
      <w:pPr>
        <w:pStyle w:val="ConsPlusNormal"/>
        <w:jc w:val="both"/>
      </w:pPr>
    </w:p>
    <w:p w:rsidR="00F03006" w:rsidRDefault="00F03006">
      <w:pPr>
        <w:pStyle w:val="ConsPlusNormal"/>
        <w:jc w:val="center"/>
      </w:pPr>
      <w:r>
        <w:t>СЦ = (ОЦ</w:t>
      </w:r>
      <w:r>
        <w:rPr>
          <w:vertAlign w:val="subscript"/>
        </w:rPr>
        <w:t>а</w:t>
      </w:r>
      <w:r>
        <w:t xml:space="preserve"> + Т) * (1 + 1 * ЗСР) (6),</w:t>
      </w:r>
    </w:p>
    <w:p w:rsidR="00F03006" w:rsidRDefault="00F030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767"/>
      </w:tblGrid>
      <w:tr w:rsidR="00F03006">
        <w:tc>
          <w:tcPr>
            <w:tcW w:w="1247" w:type="dxa"/>
            <w:tcBorders>
              <w:top w:val="nil"/>
              <w:left w:val="nil"/>
              <w:bottom w:val="nil"/>
              <w:right w:val="nil"/>
            </w:tcBorders>
          </w:tcPr>
          <w:p w:rsidR="00F03006" w:rsidRDefault="00F03006">
            <w:pPr>
              <w:pStyle w:val="ConsPlusNormal"/>
              <w:ind w:firstLine="283"/>
              <w:jc w:val="both"/>
            </w:pPr>
            <w:r>
              <w:t>где:</w:t>
            </w:r>
          </w:p>
        </w:tc>
        <w:tc>
          <w:tcPr>
            <w:tcW w:w="7767" w:type="dxa"/>
            <w:tcBorders>
              <w:top w:val="nil"/>
              <w:left w:val="nil"/>
              <w:bottom w:val="nil"/>
              <w:right w:val="nil"/>
            </w:tcBorders>
          </w:tcPr>
          <w:p w:rsidR="00F03006" w:rsidRDefault="00F03006">
            <w:pPr>
              <w:pStyle w:val="ConsPlusNormal"/>
              <w:jc w:val="both"/>
            </w:pPr>
          </w:p>
        </w:tc>
      </w:tr>
      <w:tr w:rsidR="00F03006">
        <w:tc>
          <w:tcPr>
            <w:tcW w:w="1247" w:type="dxa"/>
            <w:tcBorders>
              <w:top w:val="nil"/>
              <w:left w:val="nil"/>
              <w:bottom w:val="nil"/>
              <w:right w:val="nil"/>
            </w:tcBorders>
          </w:tcPr>
          <w:p w:rsidR="00F03006" w:rsidRDefault="00F03006">
            <w:pPr>
              <w:pStyle w:val="ConsPlusNormal"/>
              <w:ind w:firstLine="283"/>
              <w:jc w:val="both"/>
            </w:pPr>
            <w:r>
              <w:t>СЦ</w:t>
            </w:r>
          </w:p>
        </w:tc>
        <w:tc>
          <w:tcPr>
            <w:tcW w:w="7767" w:type="dxa"/>
            <w:tcBorders>
              <w:top w:val="nil"/>
              <w:left w:val="nil"/>
              <w:bottom w:val="nil"/>
              <w:right w:val="nil"/>
            </w:tcBorders>
          </w:tcPr>
          <w:p w:rsidR="00F03006" w:rsidRDefault="00F03006">
            <w:pPr>
              <w:pStyle w:val="ConsPlusNormal"/>
              <w:jc w:val="both"/>
            </w:pPr>
            <w:r>
              <w:t>- сметная цена материального ресурса и оборудования, рублей/единицу измерения;</w:t>
            </w:r>
          </w:p>
        </w:tc>
      </w:tr>
      <w:tr w:rsidR="00F03006">
        <w:tc>
          <w:tcPr>
            <w:tcW w:w="1247" w:type="dxa"/>
            <w:tcBorders>
              <w:top w:val="nil"/>
              <w:left w:val="nil"/>
              <w:bottom w:val="nil"/>
              <w:right w:val="nil"/>
            </w:tcBorders>
          </w:tcPr>
          <w:p w:rsidR="00F03006" w:rsidRDefault="00F03006">
            <w:pPr>
              <w:pStyle w:val="ConsPlusNormal"/>
              <w:ind w:firstLine="283"/>
              <w:jc w:val="both"/>
            </w:pPr>
            <w:r>
              <w:t>ОЦ</w:t>
            </w:r>
            <w:r>
              <w:rPr>
                <w:vertAlign w:val="subscript"/>
              </w:rPr>
              <w:t>а</w:t>
            </w:r>
          </w:p>
        </w:tc>
        <w:tc>
          <w:tcPr>
            <w:tcW w:w="7767" w:type="dxa"/>
            <w:tcBorders>
              <w:top w:val="nil"/>
              <w:left w:val="nil"/>
              <w:bottom w:val="nil"/>
              <w:right w:val="nil"/>
            </w:tcBorders>
          </w:tcPr>
          <w:p w:rsidR="00F03006" w:rsidRDefault="00F03006">
            <w:pPr>
              <w:pStyle w:val="ConsPlusNormal"/>
              <w:jc w:val="both"/>
            </w:pPr>
            <w:r>
              <w:t>- агрегированная отпускная цена материального ресурса и оборудования или сводная (средневзвешенная по объемам) отпускная цена (цена реализации) производителей (импортеров) материальных ресурсов и оборудования, для рассматриваемой ценовой зоны, рублей/единицу измерения;</w:t>
            </w:r>
          </w:p>
        </w:tc>
      </w:tr>
      <w:tr w:rsidR="00F03006">
        <w:tc>
          <w:tcPr>
            <w:tcW w:w="1247" w:type="dxa"/>
            <w:tcBorders>
              <w:top w:val="nil"/>
              <w:left w:val="nil"/>
              <w:bottom w:val="nil"/>
              <w:right w:val="nil"/>
            </w:tcBorders>
          </w:tcPr>
          <w:p w:rsidR="00F03006" w:rsidRDefault="00F03006">
            <w:pPr>
              <w:pStyle w:val="ConsPlusNormal"/>
              <w:ind w:firstLine="283"/>
              <w:jc w:val="both"/>
            </w:pPr>
            <w:r>
              <w:t>ЗСР</w:t>
            </w:r>
          </w:p>
        </w:tc>
        <w:tc>
          <w:tcPr>
            <w:tcW w:w="7767" w:type="dxa"/>
            <w:tcBorders>
              <w:top w:val="nil"/>
              <w:left w:val="nil"/>
              <w:bottom w:val="nil"/>
              <w:right w:val="nil"/>
            </w:tcBorders>
          </w:tcPr>
          <w:p w:rsidR="00F03006" w:rsidRDefault="00F03006">
            <w:pPr>
              <w:pStyle w:val="ConsPlusNormal"/>
              <w:jc w:val="both"/>
            </w:pPr>
            <w:r>
              <w:t>- заготовительно-складские расходы (при наличии), процентов;</w:t>
            </w:r>
          </w:p>
        </w:tc>
      </w:tr>
      <w:tr w:rsidR="00F03006">
        <w:tc>
          <w:tcPr>
            <w:tcW w:w="1247" w:type="dxa"/>
            <w:tcBorders>
              <w:top w:val="nil"/>
              <w:left w:val="nil"/>
              <w:bottom w:val="nil"/>
              <w:right w:val="nil"/>
            </w:tcBorders>
          </w:tcPr>
          <w:p w:rsidR="00F03006" w:rsidRDefault="00F03006">
            <w:pPr>
              <w:pStyle w:val="ConsPlusNormal"/>
              <w:ind w:firstLine="283"/>
              <w:jc w:val="both"/>
            </w:pPr>
            <w:r>
              <w:t>Т</w:t>
            </w:r>
          </w:p>
        </w:tc>
        <w:tc>
          <w:tcPr>
            <w:tcW w:w="7767" w:type="dxa"/>
            <w:tcBorders>
              <w:top w:val="nil"/>
              <w:left w:val="nil"/>
              <w:bottom w:val="nil"/>
              <w:right w:val="nil"/>
            </w:tcBorders>
          </w:tcPr>
          <w:p w:rsidR="00F03006" w:rsidRDefault="00F03006">
            <w:pPr>
              <w:pStyle w:val="ConsPlusNormal"/>
              <w:jc w:val="both"/>
            </w:pPr>
            <w:r>
              <w:t>- затраты на перевозку материального ресурса и оборудования автомобильным транспортом на расстояние 30 километров (за исключением отдельных групп ресурсов, отмеченных в ФГИС ЦС, таких как материалы, применяемые при строительстве линейных объектов железнодорожной инфраструктуры, сметными ценами которых перевозка автомобильным транспортом до приобъектного склада не предусмотрена), за единицу измерения с учетом массы брутто в пределах соответствующей ценовой зоны за предыдущий отчетный период, сформированные в соответствии со сметными нормативами, сведения о которых включены в ФРСН, рублей/единицу измерения.</w:t>
            </w:r>
          </w:p>
        </w:tc>
      </w:tr>
    </w:tbl>
    <w:p w:rsidR="00F03006" w:rsidRDefault="00F03006">
      <w:pPr>
        <w:pStyle w:val="ConsPlusNormal"/>
        <w:jc w:val="both"/>
      </w:pPr>
    </w:p>
    <w:p w:rsidR="00F03006" w:rsidRDefault="00F03006">
      <w:pPr>
        <w:pStyle w:val="ConsPlusNormal"/>
        <w:ind w:firstLine="540"/>
        <w:jc w:val="both"/>
      </w:pPr>
      <w:r>
        <w:t>Заготовительно-складские расходы (при наличии), учитываемые в сметной стоимости материальных ресурсов и оборудования, включают затраты, связанные с:</w:t>
      </w:r>
    </w:p>
    <w:p w:rsidR="00F03006" w:rsidRDefault="00F03006">
      <w:pPr>
        <w:pStyle w:val="ConsPlusNormal"/>
        <w:spacing w:before="240"/>
        <w:ind w:firstLine="540"/>
        <w:jc w:val="both"/>
      </w:pPr>
      <w:r>
        <w:t xml:space="preserve">1) содержанием работников, осуществляющих материально-техническое снабжение, в том числе подготовкой и размещением заказов на поставку материальных ресурсов и оборудования, приемом на склад материальных ресурсов и оборудования, их взвешиванием, учетом, хранением на складе, ревизией, подготовкой к выдаче и выдачей со склада (в том числе расходы на оплату труда работников складов (с учетом сумм страховых платежей (взносов) по обязательному страхованию в соответствии со </w:t>
      </w:r>
      <w:hyperlink r:id="rId24">
        <w:r>
          <w:rPr>
            <w:color w:val="0000FF"/>
          </w:rPr>
          <w:t>статьей 425</w:t>
        </w:r>
      </w:hyperlink>
      <w:r>
        <w:t xml:space="preserve"> Налогового кодекса Российской Федерации (Собрание законодательства Российской Федерации, 2000, N 32, ст. 3340; 2016, N 27, ст. 4176; 2018, N 32, ст. 5096);</w:t>
      </w:r>
    </w:p>
    <w:p w:rsidR="00F03006" w:rsidRDefault="00F03006">
      <w:pPr>
        <w:pStyle w:val="ConsPlusNormal"/>
        <w:spacing w:before="240"/>
        <w:ind w:firstLine="540"/>
        <w:jc w:val="both"/>
      </w:pPr>
      <w:r>
        <w:t>2) сопровождением и охраной грузов при их перевозке;</w:t>
      </w:r>
    </w:p>
    <w:p w:rsidR="00F03006" w:rsidRDefault="00F03006">
      <w:pPr>
        <w:pStyle w:val="ConsPlusNormal"/>
        <w:spacing w:before="240"/>
        <w:ind w:firstLine="540"/>
        <w:jc w:val="both"/>
      </w:pPr>
      <w:r>
        <w:lastRenderedPageBreak/>
        <w:t>3) содержанием и эксплуатацией приобъектных складов, в том числе расходы на отопление (теплоснабжение), энергоснабжение, водоснабжение, водоотведение, другие коммунальные услуги, расходы на оплату труда (с учетом сумм страховых платежей (взносов) по обязательному страхованию работников) уборщиц, дежурных слесарей, электриков и другого обслуживающего персонала.</w:t>
      </w:r>
    </w:p>
    <w:p w:rsidR="00F03006" w:rsidRDefault="00F03006">
      <w:pPr>
        <w:pStyle w:val="ConsPlusNormal"/>
        <w:spacing w:before="240"/>
        <w:ind w:firstLine="540"/>
        <w:jc w:val="both"/>
      </w:pPr>
      <w:r>
        <w:t>Размер заготовительно-складских расходов (при наличии) дифференцируются по видам материальных ресурсов и оборудования и принимается в соответствии со сметными нормативами, сведения о которых включены в ФРСН.</w:t>
      </w:r>
    </w:p>
    <w:p w:rsidR="00F03006" w:rsidRDefault="00F03006">
      <w:pPr>
        <w:pStyle w:val="ConsPlusNormal"/>
        <w:spacing w:before="240"/>
        <w:ind w:firstLine="540"/>
        <w:jc w:val="both"/>
      </w:pPr>
      <w:r>
        <w:t>18. Затраты на перевозку материальных ресурсов и оборудования до приобъектного склада определяются исходя из схемы транспортировки материальных ресурсов и оборудования, являющихся строительными грузами, включающей автомобильные перевозки таких грузов на расстояние 30 километров с учетом массы брутто в пределах соответствующей ценовой зоны, времени простоя автотранспортного средства при их выгрузке на приобъектном складе, а также исходя из сметных цен услуг на перевозку грузов для строительства автомобильным транспортом в соответствии со сметными нормативами, сведения о которых включены в ФРСН и размещенных в ФГИС ЦС в текущем отчетном периоде (квартале).</w:t>
      </w:r>
    </w:p>
    <w:p w:rsidR="00F03006" w:rsidRDefault="00F03006">
      <w:pPr>
        <w:pStyle w:val="ConsPlusNormal"/>
        <w:spacing w:before="240"/>
        <w:ind w:firstLine="540"/>
        <w:jc w:val="both"/>
      </w:pPr>
      <w:r>
        <w:t xml:space="preserve">19. Сметные цены на электроэнергию, расходуемую в период производства работ, а также на электроэнергию и горюче-смазочные материалы, необходимые для определения сметных цен на эксплуатацию машин и механизмов, принимаются по результатам мониторинга отпускных цен в соответствии с </w:t>
      </w:r>
      <w:hyperlink r:id="rId25">
        <w:r>
          <w:rPr>
            <w:color w:val="0000FF"/>
          </w:rPr>
          <w:t>пунктом 3</w:t>
        </w:r>
      </w:hyperlink>
      <w:r>
        <w:t xml:space="preserve"> Правил мониторинга, осуществляемого в отчетном периоде Учреждением. В качестве источников информации об отпускных ценах на электроэнергию используются тарифы для энергосбытовых компаний на территориях соответствующих ценовых зон.</w:t>
      </w:r>
    </w:p>
    <w:p w:rsidR="00F03006" w:rsidRDefault="00F03006">
      <w:pPr>
        <w:pStyle w:val="ConsPlusNormal"/>
        <w:spacing w:before="240"/>
        <w:ind w:firstLine="540"/>
        <w:jc w:val="both"/>
      </w:pPr>
      <w:r>
        <w:t>20. Сметные цены на воду определяются по тарифам для организаций, осуществляющих водоснабжение и водоотведение на территориях соответствующих ценовых зон.</w:t>
      </w:r>
    </w:p>
    <w:p w:rsidR="00F03006" w:rsidRDefault="00F03006">
      <w:pPr>
        <w:pStyle w:val="ConsPlusNormal"/>
        <w:jc w:val="both"/>
      </w:pPr>
    </w:p>
    <w:p w:rsidR="00F03006" w:rsidRDefault="00F03006">
      <w:pPr>
        <w:pStyle w:val="ConsPlusTitle"/>
        <w:jc w:val="center"/>
        <w:outlineLvl w:val="1"/>
      </w:pPr>
      <w:bookmarkStart w:id="5" w:name="P161"/>
      <w:bookmarkEnd w:id="5"/>
      <w:r>
        <w:t>V. Анализ и учет данных об отпускных ценах (ценах</w:t>
      </w:r>
    </w:p>
    <w:p w:rsidR="00F03006" w:rsidRDefault="00F03006">
      <w:pPr>
        <w:pStyle w:val="ConsPlusTitle"/>
        <w:jc w:val="center"/>
      </w:pPr>
      <w:r>
        <w:t>реализации) производителей (импортеров) и ценах предложений</w:t>
      </w:r>
    </w:p>
    <w:p w:rsidR="00F03006" w:rsidRDefault="00F03006">
      <w:pPr>
        <w:pStyle w:val="ConsPlusTitle"/>
        <w:jc w:val="center"/>
      </w:pPr>
      <w:r>
        <w:t>поставщиков материальных ресурсов и оборудования</w:t>
      </w:r>
    </w:p>
    <w:p w:rsidR="00F03006" w:rsidRDefault="00F03006">
      <w:pPr>
        <w:pStyle w:val="ConsPlusNormal"/>
        <w:jc w:val="both"/>
      </w:pPr>
    </w:p>
    <w:p w:rsidR="00F03006" w:rsidRDefault="00F03006">
      <w:pPr>
        <w:pStyle w:val="ConsPlusNormal"/>
        <w:ind w:firstLine="540"/>
        <w:jc w:val="both"/>
      </w:pPr>
      <w:r>
        <w:t>21. При расчете агрегированной отпускной цены материальных ресурсов и оборудования используются отпускные цены (цены реализации) производителей (импортеров) или цены предложений поставщиков таких материальных ресурсов или оборудования, стандартное отклонение ряда которых менее 25 процентов от среднеарифметического значения отпускных цен (цен реализации) производителей (импортеров) или цен предложений поставщиков материальных ресурсов или оборудования в рассматриваемой ценовой зоне.</w:t>
      </w:r>
    </w:p>
    <w:p w:rsidR="00F03006" w:rsidRDefault="00F03006">
      <w:pPr>
        <w:pStyle w:val="ConsPlusNormal"/>
        <w:spacing w:before="240"/>
        <w:ind w:firstLine="540"/>
        <w:jc w:val="both"/>
      </w:pPr>
      <w:r>
        <w:t xml:space="preserve">В случае, если стандартное отклонение всех отпускных цен (цен реализации) производителей (импортеров) или цен предложений поставщиков на единицу измерения соответствующего материального ресурса или оборудования в ценовой зоне составляет более 25 процентов от среднеарифметического значения отпускных цен (цен реализации) производителей (импортеров) или цен предложений поставщиков такого материального ресурса или оборудования в рассматриваемой ценовой зоне, отпускная цена (цена реализации) производителей (импортеров) или цена предложений поставщиков соответствующего материального ресурса или оборудования, имеющая наибольшее отклонение от среднеарифметического значения (в обе стороны), исключается из расчета </w:t>
      </w:r>
      <w:r>
        <w:lastRenderedPageBreak/>
        <w:t>его агрегированной отпускной цены и такая процедура повторяется до тех пор, пока стандартное отклонение ряда отпускных цен (цен реализации) производителей (импортеров) или цен предложений поставщиков указанного материального ресурса или оборудования в рассматриваемой ценовой зоне не будет составлять менее 25 процентов от их среднеарифметического значения (7):</w:t>
      </w:r>
    </w:p>
    <w:p w:rsidR="00F03006" w:rsidRDefault="00F03006">
      <w:pPr>
        <w:pStyle w:val="ConsPlusNormal"/>
        <w:jc w:val="both"/>
      </w:pPr>
    </w:p>
    <w:p w:rsidR="00F03006" w:rsidRDefault="00F03006">
      <w:pPr>
        <w:pStyle w:val="ConsPlusNormal"/>
        <w:jc w:val="center"/>
      </w:pPr>
      <w:bookmarkStart w:id="6" w:name="P168"/>
      <w:bookmarkEnd w:id="6"/>
      <w:r>
        <w:rPr>
          <w:noProof/>
          <w:position w:val="-10"/>
        </w:rPr>
        <w:drawing>
          <wp:inline distT="0" distB="0" distL="0" distR="0">
            <wp:extent cx="1691640" cy="2857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1640" cy="285750"/>
                    </a:xfrm>
                    <a:prstGeom prst="rect">
                      <a:avLst/>
                    </a:prstGeom>
                    <a:noFill/>
                    <a:ln>
                      <a:noFill/>
                    </a:ln>
                  </pic:spPr>
                </pic:pic>
              </a:graphicData>
            </a:graphic>
          </wp:inline>
        </w:drawing>
      </w:r>
    </w:p>
    <w:p w:rsidR="00F03006" w:rsidRDefault="00F030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F03006">
        <w:tc>
          <w:tcPr>
            <w:tcW w:w="1077" w:type="dxa"/>
            <w:tcBorders>
              <w:top w:val="nil"/>
              <w:left w:val="nil"/>
              <w:bottom w:val="nil"/>
              <w:right w:val="nil"/>
            </w:tcBorders>
          </w:tcPr>
          <w:p w:rsidR="00F03006" w:rsidRDefault="00F03006">
            <w:pPr>
              <w:pStyle w:val="ConsPlusNormal"/>
              <w:ind w:firstLine="283"/>
              <w:jc w:val="both"/>
            </w:pPr>
            <w:r>
              <w:t>где:</w:t>
            </w:r>
          </w:p>
        </w:tc>
        <w:tc>
          <w:tcPr>
            <w:tcW w:w="7994" w:type="dxa"/>
            <w:tcBorders>
              <w:top w:val="nil"/>
              <w:left w:val="nil"/>
              <w:bottom w:val="nil"/>
              <w:right w:val="nil"/>
            </w:tcBorders>
          </w:tcPr>
          <w:p w:rsidR="00F03006" w:rsidRDefault="00F03006">
            <w:pPr>
              <w:pStyle w:val="ConsPlusNormal"/>
              <w:jc w:val="both"/>
            </w:pPr>
          </w:p>
        </w:tc>
      </w:tr>
      <w:tr w:rsidR="00F03006">
        <w:tc>
          <w:tcPr>
            <w:tcW w:w="1077" w:type="dxa"/>
            <w:tcBorders>
              <w:top w:val="nil"/>
              <w:left w:val="nil"/>
              <w:bottom w:val="nil"/>
              <w:right w:val="nil"/>
            </w:tcBorders>
          </w:tcPr>
          <w:p w:rsidR="00F03006" w:rsidRDefault="00F03006">
            <w:pPr>
              <w:pStyle w:val="ConsPlusNormal"/>
              <w:ind w:firstLine="283"/>
              <w:jc w:val="both"/>
            </w:pPr>
            <w:r>
              <w:rPr>
                <w:noProof/>
                <w:position w:val="-1"/>
              </w:rPr>
              <w:drawing>
                <wp:inline distT="0" distB="0" distL="0" distR="0">
                  <wp:extent cx="182880" cy="1714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171450"/>
                          </a:xfrm>
                          <a:prstGeom prst="rect">
                            <a:avLst/>
                          </a:prstGeom>
                          <a:noFill/>
                          <a:ln>
                            <a:noFill/>
                          </a:ln>
                        </pic:spPr>
                      </pic:pic>
                    </a:graphicData>
                  </a:graphic>
                </wp:inline>
              </w:drawing>
            </w:r>
          </w:p>
        </w:tc>
        <w:tc>
          <w:tcPr>
            <w:tcW w:w="7994" w:type="dxa"/>
            <w:tcBorders>
              <w:top w:val="nil"/>
              <w:left w:val="nil"/>
              <w:bottom w:val="nil"/>
              <w:right w:val="nil"/>
            </w:tcBorders>
          </w:tcPr>
          <w:p w:rsidR="00F03006" w:rsidRDefault="00F03006">
            <w:pPr>
              <w:pStyle w:val="ConsPlusNormal"/>
              <w:jc w:val="both"/>
            </w:pPr>
            <w:r>
              <w:t>- ценовая зона;</w:t>
            </w:r>
          </w:p>
        </w:tc>
      </w:tr>
      <w:tr w:rsidR="00F03006">
        <w:tc>
          <w:tcPr>
            <w:tcW w:w="1077" w:type="dxa"/>
            <w:tcBorders>
              <w:top w:val="nil"/>
              <w:left w:val="nil"/>
              <w:bottom w:val="nil"/>
              <w:right w:val="nil"/>
            </w:tcBorders>
          </w:tcPr>
          <w:p w:rsidR="00F03006" w:rsidRDefault="00F03006">
            <w:pPr>
              <w:pStyle w:val="ConsPlusNormal"/>
              <w:ind w:firstLine="283"/>
              <w:jc w:val="both"/>
            </w:pPr>
            <w:r>
              <w:t>Х</w:t>
            </w:r>
            <w:r>
              <w:rPr>
                <w:vertAlign w:val="subscript"/>
              </w:rPr>
              <w:t>ср</w:t>
            </w:r>
          </w:p>
        </w:tc>
        <w:tc>
          <w:tcPr>
            <w:tcW w:w="7994" w:type="dxa"/>
            <w:tcBorders>
              <w:top w:val="nil"/>
              <w:left w:val="nil"/>
              <w:bottom w:val="nil"/>
              <w:right w:val="nil"/>
            </w:tcBorders>
          </w:tcPr>
          <w:p w:rsidR="00F03006" w:rsidRDefault="00F03006">
            <w:pPr>
              <w:pStyle w:val="ConsPlusNormal"/>
              <w:jc w:val="both"/>
            </w:pPr>
            <w:r>
              <w:t>- среднеарифметическое отпускных цен (цен реализации) производителей (импортеров) или цен предложений поставщиков материальных ресурсов и оборудования, рублей.</w:t>
            </w:r>
          </w:p>
        </w:tc>
      </w:tr>
    </w:tbl>
    <w:p w:rsidR="00F03006" w:rsidRDefault="00F03006">
      <w:pPr>
        <w:pStyle w:val="ConsPlusNormal"/>
        <w:jc w:val="both"/>
      </w:pPr>
    </w:p>
    <w:p w:rsidR="00F03006" w:rsidRDefault="00F03006">
      <w:pPr>
        <w:pStyle w:val="ConsPlusNormal"/>
        <w:ind w:firstLine="540"/>
        <w:jc w:val="both"/>
      </w:pPr>
      <w:r>
        <w:t xml:space="preserve">Отпускные цены (цены реализации) производителей (импортеров) или цены предложений поставщиков материальных ресурсов и оборудования, не соответствующие </w:t>
      </w:r>
      <w:hyperlink w:anchor="P168">
        <w:r>
          <w:rPr>
            <w:color w:val="0000FF"/>
          </w:rPr>
          <w:t>формуле (7)</w:t>
        </w:r>
      </w:hyperlink>
      <w:r>
        <w:t xml:space="preserve"> Методики, не принимаются для расчета агрегированных отпускных цен материальных ресурсов или оборудования.</w:t>
      </w:r>
    </w:p>
    <w:p w:rsidR="00F03006" w:rsidRDefault="00F03006">
      <w:pPr>
        <w:pStyle w:val="ConsPlusNormal"/>
        <w:spacing w:before="240"/>
        <w:ind w:firstLine="540"/>
        <w:jc w:val="both"/>
      </w:pPr>
      <w:r>
        <w:t>22. В случае, если отпускная цена (цена реализации) производителей (импортеров) или цена предложения поставщиков материального ресурса или оборудования представленная в ФГИС ЦС, отличная от единицы измерения соответствующего материального ресурса или оборудования, включенного в КСР, то такая отпускная цена (цена реализации) производителей (импортеров) или цена предложений поставщиков материальных ресурсов и оборудования пересчитывается на единицу измерения соответствующего материального ресурса или оборудования в составе КСР с учетом соотношения кратных единиц измерения (например, килограммы в тонны, штуки в десятки штук), или если в технической документации, регламентирующей производство и использование указанных материальных ресурсов и оборудования, приведены данные, с использованием которых возможно выполнить пересчет отпускной цены (цены реализации) производителей (импортеров) или цены предложений поставщиков материальных ресурсов и оборудования в требуемую единицу измерения.</w:t>
      </w:r>
    </w:p>
    <w:p w:rsidR="00F03006" w:rsidRDefault="00F03006">
      <w:pPr>
        <w:pStyle w:val="ConsPlusNormal"/>
        <w:spacing w:before="240"/>
        <w:ind w:firstLine="540"/>
        <w:jc w:val="both"/>
      </w:pPr>
      <w:bookmarkStart w:id="7" w:name="P179"/>
      <w:bookmarkEnd w:id="7"/>
      <w:r>
        <w:t xml:space="preserve">23. В случае, если индекс изменения сметной цены материального ресурса или оборудования, определенный как отношение сметной цены такого материального ресурса или оборудования, сформированной на основании агрегированной отпускной цены такого материального ресурса или оборудования в соответствии с </w:t>
      </w:r>
      <w:hyperlink w:anchor="P134">
        <w:r>
          <w:rPr>
            <w:color w:val="0000FF"/>
          </w:rPr>
          <w:t>главой IV</w:t>
        </w:r>
      </w:hyperlink>
      <w:r>
        <w:t xml:space="preserve"> настоящей Методики в текущем отчетном периоде, к сметной цене такого материального ресурса или оборудования в базисном уровне цен (уровне цен, сложившемся на определенную дату), действующем на момент расчета, отличается от индекса изменения сметной стоимости к группе однородных материальных ресурсов и оборудования, определенного в соответствии со сметными нормативами, сведения о которых включены в ФРСН, более чем на 20 процентов в большую или меньшую сторону, сметная цена такого материального ресурса или оборудования, сформированная на основании агрегированной отпускной цены такого материального ресурса или оборудования, не подлежит публикации в ФГИС ЦС.</w:t>
      </w:r>
    </w:p>
    <w:p w:rsidR="00F03006" w:rsidRDefault="00F03006">
      <w:pPr>
        <w:pStyle w:val="ConsPlusNormal"/>
        <w:spacing w:before="240"/>
        <w:ind w:firstLine="540"/>
        <w:jc w:val="both"/>
      </w:pPr>
      <w:r>
        <w:t xml:space="preserve">В случае, если для такого материального ресурса или оборудования индекс изменения сметной цены материального ресурса или оборудования, определенный как отношение сметной цены такого материального ресурса или оборудования, сформированной на основании сводной (средневзвешенной по объемам) цены реализации такого </w:t>
      </w:r>
      <w:r>
        <w:lastRenderedPageBreak/>
        <w:t xml:space="preserve">материального ресурса или оборудования, в соответствии с </w:t>
      </w:r>
      <w:hyperlink w:anchor="P134">
        <w:r>
          <w:rPr>
            <w:color w:val="0000FF"/>
          </w:rPr>
          <w:t>главой IV</w:t>
        </w:r>
      </w:hyperlink>
      <w:r>
        <w:t xml:space="preserve"> настоящей Методики в текущем отчетном периоде, к сметной цене такого материального ресурса или оборудования в базисном уровне цен (уровне цен, сложившемся на определенную дату), действующем на момент расчета, отличается от индекса изменения сметной стоимости к группе однородных материальных ресурсов и оборудования, определенного в соответствии со сметными нормативами, сведения о которых включены в ФРСН, менее чем на 20 процентов в большую или меньшую сторону, или в случае, если сводная (средневзвешенная по объемам) цена реализации такого ресурса или оборудования сформирована на основании отпускных цен (цен реализации) двух или более производителей такого материального ресурса или оборудования, сметная цена материального ресурса и оборудования, сформированная на основании сводной (средневзвешенной по объемам) отпускной цены (цены реализации) такого материального ресурса или оборудования, подлежит публикации в ФГИС ЦС.</w:t>
      </w:r>
    </w:p>
    <w:p w:rsidR="00F03006" w:rsidRDefault="00F03006">
      <w:pPr>
        <w:pStyle w:val="ConsPlusNormal"/>
        <w:spacing w:before="240"/>
        <w:ind w:firstLine="540"/>
        <w:jc w:val="both"/>
      </w:pPr>
      <w:r>
        <w:t xml:space="preserve">24. В случае, если сводная (средневзвешенная по объемам) отпускная цена (цена реализации) производителей (импортеров) материальных ресурсов и оборудования, являющегося ресурсом - представителем группы однородных строительных ресурсов, определенным в соответствии с положениями сметных нормативов, сведения о которых включены в ФРСН, сформирована на основании одной отпускной цены (цены реализации) производителей (импортеров) такого материального ресурса или оборудования и если в соответствии с </w:t>
      </w:r>
      <w:hyperlink w:anchor="P179">
        <w:r>
          <w:rPr>
            <w:color w:val="0000FF"/>
          </w:rPr>
          <w:t>пунктом 23</w:t>
        </w:r>
      </w:hyperlink>
      <w:r>
        <w:t xml:space="preserve"> настоящей Методики сметная цена такого материального ресурса или оборудования не подлежит публикации в ФГИС ЦС, Учреждением в течение 7 рабочих дней со дня формирования сводной (средневзвешенной по объемам) отпускной цены (цены реализации) на основании одной отпускной цены (цены реализации) материального ресурса или оборудования направляется письменный запрос подтверждения такой отпускной цены (цены реализации) лицу, представившему сведения о такой отпускной цене (цене реализации).</w:t>
      </w:r>
    </w:p>
    <w:p w:rsidR="00F03006" w:rsidRDefault="00F03006">
      <w:pPr>
        <w:pStyle w:val="ConsPlusNormal"/>
        <w:spacing w:before="240"/>
        <w:ind w:firstLine="540"/>
        <w:jc w:val="both"/>
      </w:pPr>
      <w:r>
        <w:t>По результатам письменного подтверждения вышеуказанным лицом корректности и достоверности такой отпускной цены (цены реализации) сметная цена материального ресурса или оборудования, сформированная на основании сводной (средневзвешенной по объемам) отпускной цены (цены реализации) производителей (импортеров) такого материального ресурса или оборудования, подлежит публикации в ФГИС ЦС в следующем отчетном периоде.</w:t>
      </w:r>
    </w:p>
    <w:p w:rsidR="00F03006" w:rsidRDefault="00F03006">
      <w:pPr>
        <w:pStyle w:val="ConsPlusNormal"/>
        <w:jc w:val="both"/>
      </w:pPr>
    </w:p>
    <w:p w:rsidR="00F03006" w:rsidRDefault="00F03006">
      <w:pPr>
        <w:pStyle w:val="ConsPlusNormal"/>
        <w:jc w:val="both"/>
      </w:pPr>
    </w:p>
    <w:p w:rsidR="00F03006" w:rsidRDefault="00F03006">
      <w:pPr>
        <w:pStyle w:val="ConsPlusNormal"/>
        <w:jc w:val="both"/>
      </w:pPr>
    </w:p>
    <w:p w:rsidR="00F03006" w:rsidRDefault="00F03006">
      <w:pPr>
        <w:pStyle w:val="ConsPlusNormal"/>
        <w:jc w:val="both"/>
      </w:pPr>
    </w:p>
    <w:p w:rsidR="00F03006" w:rsidRDefault="00F03006">
      <w:pPr>
        <w:pStyle w:val="ConsPlusNormal"/>
        <w:jc w:val="both"/>
      </w:pPr>
    </w:p>
    <w:p w:rsidR="00F03006" w:rsidRDefault="00F03006">
      <w:pPr>
        <w:pStyle w:val="ConsPlusNormal"/>
        <w:jc w:val="right"/>
        <w:outlineLvl w:val="1"/>
      </w:pPr>
      <w:r>
        <w:t>Приложение</w:t>
      </w:r>
    </w:p>
    <w:p w:rsidR="00F03006" w:rsidRDefault="00F03006">
      <w:pPr>
        <w:pStyle w:val="ConsPlusNormal"/>
        <w:jc w:val="right"/>
      </w:pPr>
      <w:r>
        <w:t>к Методике определения сметных цен</w:t>
      </w:r>
    </w:p>
    <w:p w:rsidR="00F03006" w:rsidRDefault="00F03006">
      <w:pPr>
        <w:pStyle w:val="ConsPlusNormal"/>
        <w:jc w:val="right"/>
      </w:pPr>
      <w:r>
        <w:t>на материалы, изделия, конструкции</w:t>
      </w:r>
    </w:p>
    <w:p w:rsidR="00F03006" w:rsidRDefault="00F03006">
      <w:pPr>
        <w:pStyle w:val="ConsPlusNormal"/>
        <w:jc w:val="right"/>
      </w:pPr>
      <w:r>
        <w:t>и оборудование, утвержденной</w:t>
      </w:r>
    </w:p>
    <w:p w:rsidR="00F03006" w:rsidRDefault="00F03006">
      <w:pPr>
        <w:pStyle w:val="ConsPlusNormal"/>
        <w:jc w:val="right"/>
      </w:pPr>
      <w:r>
        <w:t>приказом Министерства строительства</w:t>
      </w:r>
    </w:p>
    <w:p w:rsidR="00F03006" w:rsidRDefault="00F03006">
      <w:pPr>
        <w:pStyle w:val="ConsPlusNormal"/>
        <w:jc w:val="right"/>
      </w:pPr>
      <w:r>
        <w:t>и жилищно-коммунального хозяйства</w:t>
      </w:r>
    </w:p>
    <w:p w:rsidR="00F03006" w:rsidRDefault="00F03006">
      <w:pPr>
        <w:pStyle w:val="ConsPlusNormal"/>
        <w:jc w:val="right"/>
      </w:pPr>
      <w:r>
        <w:t>Российской Федерации</w:t>
      </w:r>
    </w:p>
    <w:p w:rsidR="00F03006" w:rsidRDefault="00F03006">
      <w:pPr>
        <w:pStyle w:val="ConsPlusNormal"/>
        <w:jc w:val="right"/>
      </w:pPr>
      <w:r>
        <w:t>от 26 октября 2022 г. N 904/пр</w:t>
      </w:r>
    </w:p>
    <w:p w:rsidR="00F03006" w:rsidRDefault="00F03006">
      <w:pPr>
        <w:pStyle w:val="ConsPlusNormal"/>
        <w:jc w:val="both"/>
      </w:pPr>
    </w:p>
    <w:p w:rsidR="00F03006" w:rsidRDefault="00F03006">
      <w:pPr>
        <w:pStyle w:val="ConsPlusNormal"/>
        <w:jc w:val="right"/>
      </w:pPr>
      <w:r>
        <w:t>Рекомендуемый образец</w:t>
      </w:r>
    </w:p>
    <w:p w:rsidR="00F03006" w:rsidRDefault="00F03006">
      <w:pPr>
        <w:pStyle w:val="ConsPlusNormal"/>
        <w:jc w:val="both"/>
      </w:pPr>
    </w:p>
    <w:p w:rsidR="00F03006" w:rsidRDefault="00F03006">
      <w:pPr>
        <w:pStyle w:val="ConsPlusNonformat"/>
        <w:jc w:val="both"/>
      </w:pPr>
      <w:bookmarkStart w:id="8" w:name="P199"/>
      <w:bookmarkEnd w:id="8"/>
      <w:r>
        <w:t xml:space="preserve">       СМЕТНЫЕ ЦЕНЫ МАТЕРИАЛОВ, ИЗДЕЛИЙ, КОНСТРУКЦИЙ И ОБОРУДОВАНИЯ</w:t>
      </w:r>
    </w:p>
    <w:p w:rsidR="00F03006" w:rsidRDefault="00F03006">
      <w:pPr>
        <w:pStyle w:val="ConsPlusNonformat"/>
        <w:jc w:val="both"/>
      </w:pPr>
    </w:p>
    <w:p w:rsidR="00F03006" w:rsidRDefault="00F03006">
      <w:pPr>
        <w:pStyle w:val="ConsPlusNonformat"/>
        <w:jc w:val="both"/>
      </w:pPr>
      <w:r>
        <w:t xml:space="preserve">        для ______________________________________________________</w:t>
      </w:r>
    </w:p>
    <w:p w:rsidR="00F03006" w:rsidRDefault="00F03006">
      <w:pPr>
        <w:pStyle w:val="ConsPlusNonformat"/>
        <w:jc w:val="both"/>
      </w:pPr>
      <w:r>
        <w:lastRenderedPageBreak/>
        <w:t xml:space="preserve">              (наименование субъекта Российской Федерации, номер</w:t>
      </w:r>
    </w:p>
    <w:p w:rsidR="00F03006" w:rsidRDefault="00F03006">
      <w:pPr>
        <w:pStyle w:val="ConsPlusNonformat"/>
        <w:jc w:val="both"/>
      </w:pPr>
      <w:r>
        <w:t xml:space="preserve">               ценовой зоны и наименование населенного пункта -</w:t>
      </w:r>
    </w:p>
    <w:p w:rsidR="00F03006" w:rsidRDefault="00F03006">
      <w:pPr>
        <w:pStyle w:val="ConsPlusNonformat"/>
        <w:jc w:val="both"/>
      </w:pPr>
      <w:r>
        <w:t xml:space="preserve">                             центра ценовой зоны)</w:t>
      </w:r>
    </w:p>
    <w:p w:rsidR="00F03006" w:rsidRDefault="00F03006">
      <w:pPr>
        <w:pStyle w:val="ConsPlusNonformat"/>
        <w:jc w:val="both"/>
      </w:pPr>
    </w:p>
    <w:p w:rsidR="00F03006" w:rsidRDefault="00F03006">
      <w:pPr>
        <w:pStyle w:val="ConsPlusNonformat"/>
        <w:jc w:val="both"/>
      </w:pPr>
      <w:r>
        <w:t>Отчетный период: __________________</w:t>
      </w:r>
    </w:p>
    <w:p w:rsidR="00F03006" w:rsidRDefault="00F03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1303"/>
        <w:gridCol w:w="1984"/>
        <w:gridCol w:w="1474"/>
      </w:tblGrid>
      <w:tr w:rsidR="00F03006">
        <w:tc>
          <w:tcPr>
            <w:tcW w:w="1814" w:type="dxa"/>
          </w:tcPr>
          <w:p w:rsidR="00F03006" w:rsidRDefault="00F03006">
            <w:pPr>
              <w:pStyle w:val="ConsPlusNormal"/>
              <w:jc w:val="center"/>
            </w:pPr>
            <w:r>
              <w:t>Код строительного ресурса (материального ресурса или оборудования)</w:t>
            </w:r>
          </w:p>
        </w:tc>
        <w:tc>
          <w:tcPr>
            <w:tcW w:w="2494" w:type="dxa"/>
          </w:tcPr>
          <w:p w:rsidR="00F03006" w:rsidRDefault="00F03006">
            <w:pPr>
              <w:pStyle w:val="ConsPlusNormal"/>
              <w:jc w:val="center"/>
            </w:pPr>
            <w:r>
              <w:t>Наименование</w:t>
            </w:r>
          </w:p>
        </w:tc>
        <w:tc>
          <w:tcPr>
            <w:tcW w:w="1303" w:type="dxa"/>
          </w:tcPr>
          <w:p w:rsidR="00F03006" w:rsidRDefault="00F03006">
            <w:pPr>
              <w:pStyle w:val="ConsPlusNormal"/>
              <w:jc w:val="center"/>
            </w:pPr>
            <w:r>
              <w:t>Единица измерения</w:t>
            </w:r>
          </w:p>
        </w:tc>
        <w:tc>
          <w:tcPr>
            <w:tcW w:w="1984" w:type="dxa"/>
          </w:tcPr>
          <w:p w:rsidR="00F03006" w:rsidRDefault="00F03006">
            <w:pPr>
              <w:pStyle w:val="ConsPlusNormal"/>
              <w:jc w:val="center"/>
            </w:pPr>
            <w:r>
              <w:t>Отпускная цена</w:t>
            </w:r>
          </w:p>
          <w:p w:rsidR="00F03006" w:rsidRDefault="00F03006">
            <w:pPr>
              <w:pStyle w:val="ConsPlusNormal"/>
              <w:jc w:val="center"/>
            </w:pPr>
            <w:r>
              <w:t>(цена реализации) производителей (импортеров), рублей за единицу измерения, без НДС</w:t>
            </w:r>
          </w:p>
        </w:tc>
        <w:tc>
          <w:tcPr>
            <w:tcW w:w="1474" w:type="dxa"/>
          </w:tcPr>
          <w:p w:rsidR="00F03006" w:rsidRDefault="00F03006">
            <w:pPr>
              <w:pStyle w:val="ConsPlusNormal"/>
              <w:jc w:val="center"/>
            </w:pPr>
            <w:r>
              <w:t>Сметная цена, рублей за единицу измерения, без НДС</w:t>
            </w:r>
          </w:p>
        </w:tc>
      </w:tr>
      <w:tr w:rsidR="00F03006">
        <w:tc>
          <w:tcPr>
            <w:tcW w:w="1814" w:type="dxa"/>
          </w:tcPr>
          <w:p w:rsidR="00F03006" w:rsidRDefault="00F03006">
            <w:pPr>
              <w:pStyle w:val="ConsPlusNormal"/>
              <w:jc w:val="center"/>
            </w:pPr>
            <w:r>
              <w:t>1</w:t>
            </w:r>
          </w:p>
        </w:tc>
        <w:tc>
          <w:tcPr>
            <w:tcW w:w="2494" w:type="dxa"/>
          </w:tcPr>
          <w:p w:rsidR="00F03006" w:rsidRDefault="00F03006">
            <w:pPr>
              <w:pStyle w:val="ConsPlusNormal"/>
              <w:jc w:val="center"/>
            </w:pPr>
            <w:r>
              <w:t>2</w:t>
            </w:r>
          </w:p>
        </w:tc>
        <w:tc>
          <w:tcPr>
            <w:tcW w:w="1303" w:type="dxa"/>
          </w:tcPr>
          <w:p w:rsidR="00F03006" w:rsidRDefault="00F03006">
            <w:pPr>
              <w:pStyle w:val="ConsPlusNormal"/>
              <w:jc w:val="center"/>
            </w:pPr>
            <w:r>
              <w:t>3</w:t>
            </w:r>
          </w:p>
        </w:tc>
        <w:tc>
          <w:tcPr>
            <w:tcW w:w="1984" w:type="dxa"/>
          </w:tcPr>
          <w:p w:rsidR="00F03006" w:rsidRDefault="00F03006">
            <w:pPr>
              <w:pStyle w:val="ConsPlusNormal"/>
              <w:jc w:val="center"/>
            </w:pPr>
            <w:r>
              <w:t>4</w:t>
            </w:r>
          </w:p>
        </w:tc>
        <w:tc>
          <w:tcPr>
            <w:tcW w:w="1474" w:type="dxa"/>
          </w:tcPr>
          <w:p w:rsidR="00F03006" w:rsidRDefault="00F03006">
            <w:pPr>
              <w:pStyle w:val="ConsPlusNormal"/>
              <w:jc w:val="center"/>
            </w:pPr>
            <w:r>
              <w:t>5</w:t>
            </w:r>
          </w:p>
        </w:tc>
      </w:tr>
      <w:tr w:rsidR="00F03006">
        <w:tc>
          <w:tcPr>
            <w:tcW w:w="1814" w:type="dxa"/>
          </w:tcPr>
          <w:p w:rsidR="00F03006" w:rsidRDefault="00F03006">
            <w:pPr>
              <w:pStyle w:val="ConsPlusNormal"/>
            </w:pPr>
          </w:p>
        </w:tc>
        <w:tc>
          <w:tcPr>
            <w:tcW w:w="2494" w:type="dxa"/>
          </w:tcPr>
          <w:p w:rsidR="00F03006" w:rsidRDefault="00F03006">
            <w:pPr>
              <w:pStyle w:val="ConsPlusNormal"/>
            </w:pPr>
          </w:p>
        </w:tc>
        <w:tc>
          <w:tcPr>
            <w:tcW w:w="1303" w:type="dxa"/>
          </w:tcPr>
          <w:p w:rsidR="00F03006" w:rsidRDefault="00F03006">
            <w:pPr>
              <w:pStyle w:val="ConsPlusNormal"/>
            </w:pPr>
          </w:p>
        </w:tc>
        <w:tc>
          <w:tcPr>
            <w:tcW w:w="1984" w:type="dxa"/>
          </w:tcPr>
          <w:p w:rsidR="00F03006" w:rsidRDefault="00F03006">
            <w:pPr>
              <w:pStyle w:val="ConsPlusNormal"/>
            </w:pPr>
          </w:p>
        </w:tc>
        <w:tc>
          <w:tcPr>
            <w:tcW w:w="1474" w:type="dxa"/>
          </w:tcPr>
          <w:p w:rsidR="00F03006" w:rsidRDefault="00F03006">
            <w:pPr>
              <w:pStyle w:val="ConsPlusNormal"/>
            </w:pPr>
          </w:p>
        </w:tc>
      </w:tr>
      <w:tr w:rsidR="00F03006">
        <w:tc>
          <w:tcPr>
            <w:tcW w:w="1814" w:type="dxa"/>
          </w:tcPr>
          <w:p w:rsidR="00F03006" w:rsidRDefault="00F03006">
            <w:pPr>
              <w:pStyle w:val="ConsPlusNormal"/>
            </w:pPr>
          </w:p>
        </w:tc>
        <w:tc>
          <w:tcPr>
            <w:tcW w:w="2494" w:type="dxa"/>
          </w:tcPr>
          <w:p w:rsidR="00F03006" w:rsidRDefault="00F03006">
            <w:pPr>
              <w:pStyle w:val="ConsPlusNormal"/>
            </w:pPr>
          </w:p>
        </w:tc>
        <w:tc>
          <w:tcPr>
            <w:tcW w:w="1303" w:type="dxa"/>
          </w:tcPr>
          <w:p w:rsidR="00F03006" w:rsidRDefault="00F03006">
            <w:pPr>
              <w:pStyle w:val="ConsPlusNormal"/>
            </w:pPr>
          </w:p>
        </w:tc>
        <w:tc>
          <w:tcPr>
            <w:tcW w:w="1984" w:type="dxa"/>
          </w:tcPr>
          <w:p w:rsidR="00F03006" w:rsidRDefault="00F03006">
            <w:pPr>
              <w:pStyle w:val="ConsPlusNormal"/>
            </w:pPr>
          </w:p>
        </w:tc>
        <w:tc>
          <w:tcPr>
            <w:tcW w:w="1474" w:type="dxa"/>
          </w:tcPr>
          <w:p w:rsidR="00F03006" w:rsidRDefault="00F03006">
            <w:pPr>
              <w:pStyle w:val="ConsPlusNormal"/>
            </w:pPr>
          </w:p>
        </w:tc>
      </w:tr>
      <w:tr w:rsidR="00F03006">
        <w:tc>
          <w:tcPr>
            <w:tcW w:w="1814" w:type="dxa"/>
          </w:tcPr>
          <w:p w:rsidR="00F03006" w:rsidRDefault="00F03006">
            <w:pPr>
              <w:pStyle w:val="ConsPlusNormal"/>
            </w:pPr>
          </w:p>
        </w:tc>
        <w:tc>
          <w:tcPr>
            <w:tcW w:w="2494" w:type="dxa"/>
          </w:tcPr>
          <w:p w:rsidR="00F03006" w:rsidRDefault="00F03006">
            <w:pPr>
              <w:pStyle w:val="ConsPlusNormal"/>
            </w:pPr>
          </w:p>
        </w:tc>
        <w:tc>
          <w:tcPr>
            <w:tcW w:w="1303" w:type="dxa"/>
          </w:tcPr>
          <w:p w:rsidR="00F03006" w:rsidRDefault="00F03006">
            <w:pPr>
              <w:pStyle w:val="ConsPlusNormal"/>
            </w:pPr>
          </w:p>
        </w:tc>
        <w:tc>
          <w:tcPr>
            <w:tcW w:w="1984" w:type="dxa"/>
          </w:tcPr>
          <w:p w:rsidR="00F03006" w:rsidRDefault="00F03006">
            <w:pPr>
              <w:pStyle w:val="ConsPlusNormal"/>
            </w:pPr>
          </w:p>
        </w:tc>
        <w:tc>
          <w:tcPr>
            <w:tcW w:w="1474" w:type="dxa"/>
          </w:tcPr>
          <w:p w:rsidR="00F03006" w:rsidRDefault="00F03006">
            <w:pPr>
              <w:pStyle w:val="ConsPlusNormal"/>
            </w:pPr>
          </w:p>
        </w:tc>
      </w:tr>
      <w:tr w:rsidR="00F03006">
        <w:tc>
          <w:tcPr>
            <w:tcW w:w="1814" w:type="dxa"/>
          </w:tcPr>
          <w:p w:rsidR="00F03006" w:rsidRDefault="00F03006">
            <w:pPr>
              <w:pStyle w:val="ConsPlusNormal"/>
            </w:pPr>
          </w:p>
        </w:tc>
        <w:tc>
          <w:tcPr>
            <w:tcW w:w="2494" w:type="dxa"/>
          </w:tcPr>
          <w:p w:rsidR="00F03006" w:rsidRDefault="00F03006">
            <w:pPr>
              <w:pStyle w:val="ConsPlusNormal"/>
            </w:pPr>
          </w:p>
        </w:tc>
        <w:tc>
          <w:tcPr>
            <w:tcW w:w="1303" w:type="dxa"/>
          </w:tcPr>
          <w:p w:rsidR="00F03006" w:rsidRDefault="00F03006">
            <w:pPr>
              <w:pStyle w:val="ConsPlusNormal"/>
            </w:pPr>
          </w:p>
        </w:tc>
        <w:tc>
          <w:tcPr>
            <w:tcW w:w="1984" w:type="dxa"/>
          </w:tcPr>
          <w:p w:rsidR="00F03006" w:rsidRDefault="00F03006">
            <w:pPr>
              <w:pStyle w:val="ConsPlusNormal"/>
            </w:pPr>
          </w:p>
        </w:tc>
        <w:tc>
          <w:tcPr>
            <w:tcW w:w="1474" w:type="dxa"/>
          </w:tcPr>
          <w:p w:rsidR="00F03006" w:rsidRDefault="00F03006">
            <w:pPr>
              <w:pStyle w:val="ConsPlusNormal"/>
            </w:pPr>
          </w:p>
        </w:tc>
      </w:tr>
    </w:tbl>
    <w:p w:rsidR="00F03006" w:rsidRDefault="00F03006">
      <w:pPr>
        <w:pStyle w:val="ConsPlusNormal"/>
        <w:jc w:val="both"/>
      </w:pPr>
    </w:p>
    <w:p w:rsidR="00F03006" w:rsidRDefault="00F03006">
      <w:pPr>
        <w:pStyle w:val="ConsPlusNormal"/>
        <w:jc w:val="both"/>
      </w:pPr>
    </w:p>
    <w:p w:rsidR="00F03006" w:rsidRDefault="00F03006">
      <w:pPr>
        <w:pStyle w:val="ConsPlusNormal"/>
        <w:pBdr>
          <w:bottom w:val="single" w:sz="6" w:space="0" w:color="auto"/>
        </w:pBdr>
        <w:spacing w:before="100" w:after="100"/>
        <w:jc w:val="both"/>
        <w:rPr>
          <w:sz w:val="2"/>
          <w:szCs w:val="2"/>
        </w:rPr>
      </w:pPr>
    </w:p>
    <w:p w:rsidR="002B37DF" w:rsidRDefault="002B37DF">
      <w:bookmarkStart w:id="9" w:name="_GoBack"/>
      <w:bookmarkEnd w:id="9"/>
    </w:p>
    <w:sectPr w:rsidR="002B37DF" w:rsidSect="00DE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06"/>
    <w:rsid w:val="002B37DF"/>
    <w:rsid w:val="00F0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64BB0-AD73-460E-94F8-B5BB9BA5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006"/>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F030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30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030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2D7220D425D666D7FF74E1AA2F6CC7DE8484A9721D17EF7453C2D799F4A768122FBAB368934A2DE326848DDBF3F4DB0CAD498AE67eFaEH" TargetMode="External"/><Relationship Id="rId13" Type="http://schemas.openxmlformats.org/officeDocument/2006/relationships/hyperlink" Target="consultantplus://offline/ref=B832D7220D425D666D7FF74E1AA2F6CC7DEA48459722D17EF7453C2D799F4A768122FBA8368836A88368784C94EB3352B1D5CA9BB067FDF7e4a1H" TargetMode="External"/><Relationship Id="rId18" Type="http://schemas.openxmlformats.org/officeDocument/2006/relationships/hyperlink" Target="consultantplus://offline/ref=B832D7220D425D666D7FF74E1AA2F6CC7DEA48459722D17EF7453C2D799F4A768122FBA837883DFDDB277910D1BF2053B1D5C89AACe6a6H" TargetMode="External"/><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hyperlink" Target="consultantplus://offline/ref=B832D7220D425D666D7FF74E1AA2F6CC7DE8484A9721D17EF7453C2D799F4A768122FBA836893EA18A68784C94EB3352B1D5CA9BB067FDF7e4a1H" TargetMode="External"/><Relationship Id="rId12" Type="http://schemas.openxmlformats.org/officeDocument/2006/relationships/hyperlink" Target="consultantplus://offline/ref=B832D7220D425D666D7FF74E1AA2F6CC7DE8484A9721D17EF7453C2D799F4A768122FBAA3F8D31A2DE326848DDBF3F4DB0CAD498AE67eFaEH" TargetMode="External"/><Relationship Id="rId17" Type="http://schemas.openxmlformats.org/officeDocument/2006/relationships/hyperlink" Target="consultantplus://offline/ref=B832D7220D425D666D7FF74E1AA2F6CC7DEA48459722D17EF7453C2D799F4A768122FBAB328362F8CE36211CD1A03E52AEC9CA98eAaDH" TargetMode="External"/><Relationship Id="rId25" Type="http://schemas.openxmlformats.org/officeDocument/2006/relationships/hyperlink" Target="consultantplus://offline/ref=B832D7220D425D666D7FF74E1AA2F6CC7DEA48459722D17EF7453C2D799F4A768122FBA0318362F8CE36211CD1A03E52AEC9CA98eAaDH" TargetMode="External"/><Relationship Id="rId2" Type="http://schemas.openxmlformats.org/officeDocument/2006/relationships/settings" Target="settings.xml"/><Relationship Id="rId16" Type="http://schemas.openxmlformats.org/officeDocument/2006/relationships/hyperlink" Target="consultantplus://offline/ref=B832D7220D425D666D7FF74E1AA2F6CC7DEA48459722D17EF7453C2D799F4A768122FBA0318362F8CE36211CD1A03E52AEC9CA98eAaDH"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32D7220D425D666D7FF74E1AA2F6CC7DE8484A9721D17EF7453C2D799F4A768122FBA836893EAE8C68784C94EB3352B1D5CA9BB067FDF7e4a1H" TargetMode="External"/><Relationship Id="rId11" Type="http://schemas.openxmlformats.org/officeDocument/2006/relationships/hyperlink" Target="consultantplus://offline/ref=B832D7220D425D666D7FF74E1AA2F6CC7BE24B449326D17EF7453C2D799F4A768122FBA8368836A88868784C94EB3352B1D5CA9BB067FDF7e4a1H" TargetMode="External"/><Relationship Id="rId24" Type="http://schemas.openxmlformats.org/officeDocument/2006/relationships/hyperlink" Target="consultantplus://offline/ref=B832D7220D425D666D7FF74E1AA2F6CC7DE84E4D9A23D17EF7453C2D799F4A768122FBA8358C31A981377D5985B33F52AECBCB84AC65FFeFa6H" TargetMode="External"/><Relationship Id="rId5" Type="http://schemas.openxmlformats.org/officeDocument/2006/relationships/hyperlink" Target="consultantplus://offline/ref=B832D7220D425D666D7FF74E1AA2F6CC7DE8484A9721D17EF7453C2D799F4A768122FBA836893EAE8F68784C94EB3352B1D5CA9BB067FDF7e4a1H" TargetMode="External"/><Relationship Id="rId15" Type="http://schemas.openxmlformats.org/officeDocument/2006/relationships/hyperlink" Target="consultantplus://offline/ref=B832D7220D425D666D7FF74E1AA2F6CC7DEB484A9125D17EF7453C2D799F4A768122FBA8368834A98868784C94EB3352B1D5CA9BB067FDF7e4a1H" TargetMode="External"/><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hyperlink" Target="consultantplus://offline/ref=B832D7220D425D666D7FF74E1AA2F6CC7AED454F9329D17EF7453C2D799F4A768122FBA8368836A88868784C94EB3352B1D5CA9BB067FDF7e4a1H" TargetMode="External"/><Relationship Id="rId19"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B832D7220D425D666D7FF74E1AA2F6CC7DE944449420D17EF7453C2D799F4A768122FBA8368835A98868784C94EB3352B1D5CA9BB067FDF7e4a1H" TargetMode="External"/><Relationship Id="rId14" Type="http://schemas.openxmlformats.org/officeDocument/2006/relationships/hyperlink" Target="consultantplus://offline/ref=B832D7220D425D666D7FF74E1AA2F6CC7DEA48459722D17EF7453C2D799F4A768122FBA0318362F8CE36211CD1A03E52AEC9CA98eAaDH" TargetMode="External"/><Relationship Id="rId22" Type="http://schemas.openxmlformats.org/officeDocument/2006/relationships/image" Target="media/image4.wmf"/><Relationship Id="rId27"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2023-01-11T07:26:00Z</dcterms:created>
  <dcterms:modified xsi:type="dcterms:W3CDTF">2023-01-11T07:26:00Z</dcterms:modified>
</cp:coreProperties>
</file>