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B5" w:rsidRPr="00AF62B5" w:rsidRDefault="00AF62B5">
      <w:pPr>
        <w:pStyle w:val="ConsPlusTitlePage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AF62B5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AF62B5">
        <w:rPr>
          <w:rFonts w:ascii="PT Astra Serif" w:hAnsi="PT Astra Serif"/>
          <w:sz w:val="24"/>
          <w:szCs w:val="24"/>
        </w:rPr>
        <w:br/>
      </w:r>
    </w:p>
    <w:p w:rsidR="00AF62B5" w:rsidRPr="00AF62B5" w:rsidRDefault="00AF62B5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2B5" w:rsidRPr="00AF62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B5" w:rsidRPr="00AF62B5" w:rsidRDefault="00AF62B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B5" w:rsidRPr="00AF62B5" w:rsidRDefault="00AF62B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2B5" w:rsidRPr="00AF62B5" w:rsidRDefault="00AF62B5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F62B5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AF62B5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596A07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AF62B5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B5" w:rsidRPr="00AF62B5" w:rsidRDefault="00AF62B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62B5" w:rsidRPr="00AF62B5" w:rsidRDefault="00AF62B5">
      <w:pPr>
        <w:pStyle w:val="ConsPlusNormal"/>
        <w:spacing w:before="460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b/>
          <w:sz w:val="24"/>
          <w:szCs w:val="24"/>
        </w:rPr>
        <w:t>Какие особенности учесть при закупке ГСМ по Закону N 223-ФЗ</w:t>
      </w:r>
    </w:p>
    <w:p w:rsidR="00AF62B5" w:rsidRPr="00AF62B5" w:rsidRDefault="00AF62B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AF62B5" w:rsidRPr="00AF62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B5" w:rsidRPr="00AF62B5" w:rsidRDefault="00AF62B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B5" w:rsidRPr="00AF62B5" w:rsidRDefault="00AF62B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F62B5" w:rsidRPr="00AF62B5" w:rsidRDefault="00AF62B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При закупке горюче-смазочных материалов учитывайте, что в определенных случаях закупку можно проводить только в электронной форме. Чтобы не ограничивать конкуренцию, составляя ТЗ, важно не включать в одну закупку виды ГСМ, которые обычно поставляются разными участниками рынка.</w:t>
            </w:r>
          </w:p>
          <w:p w:rsidR="00AF62B5" w:rsidRPr="00AF62B5" w:rsidRDefault="00AF62B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Включайте в закупку условия, которые позволят вам закупить необходимый объем ГСМ, в том числе при нестабильной рыночной цене.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B5" w:rsidRPr="00AF62B5" w:rsidRDefault="00AF62B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62B5" w:rsidRPr="00AF62B5" w:rsidRDefault="00AF62B5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AF62B5" w:rsidRPr="00AF62B5" w:rsidRDefault="00AF62B5">
      <w:pPr>
        <w:pStyle w:val="ConsPlusNormal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b/>
          <w:sz w:val="24"/>
          <w:szCs w:val="24"/>
        </w:rPr>
        <w:t>Оглавление:</w:t>
      </w:r>
    </w:p>
    <w:p w:rsidR="00AF62B5" w:rsidRPr="00AF62B5" w:rsidRDefault="00AF62B5">
      <w:pPr>
        <w:pStyle w:val="ConsPlusNormal"/>
        <w:spacing w:before="320"/>
        <w:ind w:left="180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 xml:space="preserve">1. </w:t>
      </w:r>
      <w:hyperlink w:anchor="P12">
        <w:r w:rsidRPr="00AF62B5">
          <w:rPr>
            <w:rFonts w:ascii="PT Astra Serif" w:hAnsi="PT Astra Serif"/>
            <w:color w:val="0000FF"/>
            <w:sz w:val="24"/>
            <w:szCs w:val="24"/>
          </w:rPr>
          <w:t>Какой способ закупки выбрать</w:t>
        </w:r>
      </w:hyperlink>
    </w:p>
    <w:p w:rsidR="00AF62B5" w:rsidRPr="00AF62B5" w:rsidRDefault="00AF62B5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 xml:space="preserve">2. </w:t>
      </w:r>
      <w:hyperlink w:anchor="P27">
        <w:r w:rsidRPr="00AF62B5">
          <w:rPr>
            <w:rFonts w:ascii="PT Astra Serif" w:hAnsi="PT Astra Serif"/>
            <w:color w:val="0000FF"/>
            <w:sz w:val="24"/>
            <w:szCs w:val="24"/>
          </w:rPr>
          <w:t>Как сформировать лот для закупки ГСМ</w:t>
        </w:r>
      </w:hyperlink>
    </w:p>
    <w:p w:rsidR="00AF62B5" w:rsidRPr="00AF62B5" w:rsidRDefault="00AF62B5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 xml:space="preserve">3. </w:t>
      </w:r>
      <w:hyperlink w:anchor="P39">
        <w:r w:rsidRPr="00AF62B5">
          <w:rPr>
            <w:rFonts w:ascii="PT Astra Serif" w:hAnsi="PT Astra Serif"/>
            <w:color w:val="0000FF"/>
            <w:sz w:val="24"/>
            <w:szCs w:val="24"/>
          </w:rPr>
          <w:t>Как учесть особенности определения объема и цены ГСМ</w:t>
        </w:r>
      </w:hyperlink>
    </w:p>
    <w:p w:rsidR="00AF62B5" w:rsidRPr="00AF62B5" w:rsidRDefault="00AF62B5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AF62B5" w:rsidRPr="00AF62B5" w:rsidRDefault="00AF62B5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2"/>
      <w:bookmarkEnd w:id="1"/>
      <w:r w:rsidRPr="00AF62B5">
        <w:rPr>
          <w:rFonts w:ascii="PT Astra Serif" w:hAnsi="PT Astra Serif"/>
          <w:b/>
          <w:sz w:val="24"/>
          <w:szCs w:val="24"/>
        </w:rPr>
        <w:t>1. Какой способ закупки выбрать</w:t>
      </w:r>
    </w:p>
    <w:p w:rsidR="00AF62B5" w:rsidRPr="00AF62B5" w:rsidRDefault="00AF62B5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>При выборе способа закупки руководствуйтесь правилами своего положения о закупке.</w:t>
      </w:r>
    </w:p>
    <w:p w:rsidR="00AF62B5" w:rsidRPr="00AF62B5" w:rsidRDefault="00AF62B5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b/>
          <w:sz w:val="24"/>
          <w:szCs w:val="24"/>
        </w:rPr>
        <w:t>Закупку ГСМ у единственного поставщика</w:t>
      </w:r>
      <w:r w:rsidRPr="00AF62B5">
        <w:rPr>
          <w:rFonts w:ascii="PT Astra Serif" w:hAnsi="PT Astra Serif"/>
          <w:sz w:val="24"/>
          <w:szCs w:val="24"/>
        </w:rPr>
        <w:t xml:space="preserve"> проводите, только если для этого вашим положением о закупке предусмотрено специальное основание (</w:t>
      </w:r>
      <w:hyperlink r:id="rId6">
        <w:r w:rsidRPr="00AF62B5">
          <w:rPr>
            <w:rFonts w:ascii="PT Astra Serif" w:hAnsi="PT Astra Serif"/>
            <w:color w:val="0000FF"/>
            <w:sz w:val="24"/>
            <w:szCs w:val="24"/>
          </w:rPr>
          <w:t>ст. 3.6</w:t>
        </w:r>
      </w:hyperlink>
      <w:r w:rsidRPr="00AF62B5">
        <w:rPr>
          <w:rFonts w:ascii="PT Astra Serif" w:hAnsi="PT Astra Serif"/>
          <w:sz w:val="24"/>
          <w:szCs w:val="24"/>
        </w:rPr>
        <w:t xml:space="preserve"> Закона N 223-ФЗ). Такой договор, заключенный на основаниях, не предусмотренных положением о закупке, может быть признан судом недействительным (</w:t>
      </w:r>
      <w:hyperlink r:id="rId7">
        <w:r w:rsidRPr="00AF62B5">
          <w:rPr>
            <w:rFonts w:ascii="PT Astra Serif" w:hAnsi="PT Astra Serif"/>
            <w:color w:val="0000FF"/>
            <w:sz w:val="24"/>
            <w:szCs w:val="24"/>
          </w:rPr>
          <w:t>п. 1 ст. 168</w:t>
        </w:r>
      </w:hyperlink>
      <w:r w:rsidRPr="00AF62B5">
        <w:rPr>
          <w:rFonts w:ascii="PT Astra Serif" w:hAnsi="PT Astra Serif"/>
          <w:sz w:val="24"/>
          <w:szCs w:val="24"/>
        </w:rPr>
        <w:t xml:space="preserve"> ГК РФ). Суды также подтверждали, что при соблюдении условия об обоснованности прямая закупка ГСМ не несет рисков нарушения конкуренции (см., например, </w:t>
      </w:r>
      <w:hyperlink r:id="rId8">
        <w:r w:rsidRPr="00AF62B5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AF62B5">
        <w:rPr>
          <w:rFonts w:ascii="PT Astra Serif" w:hAnsi="PT Astra Serif"/>
          <w:sz w:val="24"/>
          <w:szCs w:val="24"/>
        </w:rPr>
        <w:t xml:space="preserve"> АС Уральского округа от 02.06.2017 по делу N А71-6133/2016).</w:t>
      </w:r>
    </w:p>
    <w:p w:rsidR="00AF62B5" w:rsidRPr="00AF62B5" w:rsidRDefault="00AF62B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F62B5" w:rsidRPr="00AF62B5" w:rsidRDefault="00AF62B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b/>
          <w:sz w:val="24"/>
          <w:szCs w:val="24"/>
        </w:rPr>
        <w:t>Конкурентную закупку</w:t>
      </w:r>
      <w:r w:rsidRPr="00AF62B5">
        <w:rPr>
          <w:rFonts w:ascii="PT Astra Serif" w:hAnsi="PT Astra Serif"/>
          <w:sz w:val="24"/>
          <w:szCs w:val="24"/>
        </w:rPr>
        <w:t xml:space="preserve"> можете провести любым предусмотренным вашим положением способом с учетом следующих исключений:</w:t>
      </w:r>
    </w:p>
    <w:p w:rsidR="00AF62B5" w:rsidRPr="00AF62B5" w:rsidRDefault="00AF62B5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>конкурентную закупку у СМСП можно провести только в электронной форме и только четырьмя классическими способами: конкурс, аукцион, запрос котировок, запрос предложений (</w:t>
      </w:r>
      <w:hyperlink r:id="rId9">
        <w:r w:rsidRPr="00AF62B5">
          <w:rPr>
            <w:rFonts w:ascii="PT Astra Serif" w:hAnsi="PT Astra Serif"/>
            <w:color w:val="0000FF"/>
            <w:sz w:val="24"/>
            <w:szCs w:val="24"/>
          </w:rPr>
          <w:t>ч. 2 ст. 3.4</w:t>
        </w:r>
      </w:hyperlink>
      <w:r w:rsidRPr="00AF62B5">
        <w:rPr>
          <w:rFonts w:ascii="PT Astra Serif" w:hAnsi="PT Astra Serif"/>
          <w:sz w:val="24"/>
          <w:szCs w:val="24"/>
        </w:rPr>
        <w:t xml:space="preserve"> Закона N 223-ФЗ);</w:t>
      </w:r>
    </w:p>
    <w:p w:rsidR="00AF62B5" w:rsidRPr="00AF62B5" w:rsidRDefault="00AF62B5" w:rsidP="00AF62B5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 xml:space="preserve">конкурентную закупку услуг по розничной торговле ГСМ в специализированных магазинах по кодам ОКПД 2 </w:t>
      </w:r>
      <w:hyperlink r:id="rId10">
        <w:r w:rsidRPr="00AF62B5">
          <w:rPr>
            <w:rFonts w:ascii="PT Astra Serif" w:hAnsi="PT Astra Serif"/>
            <w:color w:val="0000FF"/>
            <w:sz w:val="24"/>
            <w:szCs w:val="24"/>
          </w:rPr>
          <w:t>47.30.10.000</w:t>
        </w:r>
      </w:hyperlink>
      <w:r w:rsidRPr="00AF62B5">
        <w:rPr>
          <w:rFonts w:ascii="PT Astra Serif" w:hAnsi="PT Astra Serif"/>
          <w:sz w:val="24"/>
          <w:szCs w:val="24"/>
        </w:rPr>
        <w:t xml:space="preserve"> и </w:t>
      </w:r>
      <w:hyperlink r:id="rId11">
        <w:r w:rsidRPr="00AF62B5">
          <w:rPr>
            <w:rFonts w:ascii="PT Astra Serif" w:hAnsi="PT Astra Serif"/>
            <w:color w:val="0000FF"/>
            <w:sz w:val="24"/>
            <w:szCs w:val="24"/>
          </w:rPr>
          <w:t>47.30.20.000</w:t>
        </w:r>
      </w:hyperlink>
      <w:r w:rsidRPr="00AF62B5">
        <w:rPr>
          <w:rFonts w:ascii="PT Astra Serif" w:hAnsi="PT Astra Serif"/>
          <w:sz w:val="24"/>
          <w:szCs w:val="24"/>
        </w:rPr>
        <w:t xml:space="preserve"> можно провести только в электронной форме, но любым предусмотренным положением конкурентным способом. Электронную форму можно не соблюдать для аварийной закупки или если закупка не подлежит размещению в ЕИС на основании </w:t>
      </w:r>
      <w:hyperlink r:id="rId12">
        <w:r w:rsidRPr="00AF62B5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AF62B5">
        <w:rPr>
          <w:rFonts w:ascii="PT Astra Serif" w:hAnsi="PT Astra Serif"/>
          <w:sz w:val="24"/>
          <w:szCs w:val="24"/>
        </w:rPr>
        <w:t xml:space="preserve"> Закона N 223-ФЗ (</w:t>
      </w:r>
      <w:hyperlink r:id="rId13">
        <w:r w:rsidRPr="00AF62B5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AF62B5">
        <w:rPr>
          <w:rFonts w:ascii="PT Astra Serif" w:hAnsi="PT Astra Serif"/>
          <w:sz w:val="24"/>
          <w:szCs w:val="24"/>
        </w:rPr>
        <w:t xml:space="preserve"> Постановления N 616).</w:t>
      </w:r>
    </w:p>
    <w:p w:rsidR="00AF62B5" w:rsidRPr="00AF62B5" w:rsidRDefault="00AF62B5" w:rsidP="00AF62B5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</w:p>
    <w:p w:rsidR="00AF62B5" w:rsidRPr="00AF62B5" w:rsidRDefault="00AF62B5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27"/>
      <w:bookmarkEnd w:id="2"/>
      <w:r w:rsidRPr="00AF62B5">
        <w:rPr>
          <w:rFonts w:ascii="PT Astra Serif" w:hAnsi="PT Astra Serif"/>
          <w:b/>
          <w:sz w:val="24"/>
          <w:szCs w:val="24"/>
        </w:rPr>
        <w:t>2. Как сформировать лот для закупки ГСМ</w:t>
      </w:r>
    </w:p>
    <w:p w:rsidR="00AF62B5" w:rsidRPr="00AF62B5" w:rsidRDefault="00AF62B5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lastRenderedPageBreak/>
        <w:t xml:space="preserve">Не рекомендуем объединять в один лот ГСМ, относящиеся к разным товарным рынкам, такое объединение может быть признано ограничением конкуренции. Кроме того, вместе с таким объединением нарушением может быть признана и обширная территория поставки (см., например, </w:t>
      </w:r>
      <w:hyperlink r:id="rId14">
        <w:r w:rsidRPr="00AF62B5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AF62B5">
        <w:rPr>
          <w:rFonts w:ascii="PT Astra Serif" w:hAnsi="PT Astra Serif"/>
          <w:sz w:val="24"/>
          <w:szCs w:val="24"/>
        </w:rPr>
        <w:t xml:space="preserve"> ФАС России от 12.05.2016 N 223ФЗ-192/16).</w:t>
      </w:r>
    </w:p>
    <w:p w:rsidR="00AF62B5" w:rsidRPr="00AF62B5" w:rsidRDefault="00AF62B5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 xml:space="preserve">Поэтому, если планируете конкурентную закупку, не предусматривайте в рамках одного договора поставку различных видов ГСМ, </w:t>
      </w:r>
      <w:proofErr w:type="gramStart"/>
      <w:r w:rsidRPr="00AF62B5">
        <w:rPr>
          <w:rFonts w:ascii="PT Astra Serif" w:hAnsi="PT Astra Serif"/>
          <w:sz w:val="24"/>
          <w:szCs w:val="24"/>
        </w:rPr>
        <w:t>например</w:t>
      </w:r>
      <w:proofErr w:type="gramEnd"/>
      <w:r w:rsidRPr="00AF62B5">
        <w:rPr>
          <w:rFonts w:ascii="PT Astra Serif" w:hAnsi="PT Astra Serif"/>
          <w:sz w:val="24"/>
          <w:szCs w:val="24"/>
        </w:rPr>
        <w:t xml:space="preserve"> дизельного топлива и смазочных масел, либо различных типов одного материала, например авиационного и автомобильного бензина, либо требуемых к поставке в разных регионах материалов. Это может быть признано нарушением </w:t>
      </w:r>
      <w:hyperlink r:id="rId15">
        <w:r w:rsidRPr="00AF62B5">
          <w:rPr>
            <w:rFonts w:ascii="PT Astra Serif" w:hAnsi="PT Astra Serif"/>
            <w:color w:val="0000FF"/>
            <w:sz w:val="24"/>
            <w:szCs w:val="24"/>
          </w:rPr>
          <w:t>п. 2 ч. 1 ст. 3</w:t>
        </w:r>
      </w:hyperlink>
      <w:r w:rsidRPr="00AF62B5">
        <w:rPr>
          <w:rFonts w:ascii="PT Astra Serif" w:hAnsi="PT Astra Serif"/>
          <w:sz w:val="24"/>
          <w:szCs w:val="24"/>
        </w:rPr>
        <w:t xml:space="preserve"> Закона N 223-ФЗ.</w:t>
      </w:r>
    </w:p>
    <w:p w:rsidR="00AF62B5" w:rsidRPr="00AF62B5" w:rsidRDefault="00AF62B5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 xml:space="preserve">При формировании требований к условиям поставки определите в ТЗ или проекте договора порядок и место получения ГСМ. Если предусматриваете заправку на АЗС поставщика, учитывайте, что требования к их расположению не должны ограничивать конкуренцию. Для этого максимально подробно приводите перечень населенных пунктов, территорию, на которой вам понадобятся заправки. В противном случае есть риск, что требования признают нарушением </w:t>
      </w:r>
      <w:hyperlink r:id="rId16">
        <w:r w:rsidRPr="00AF62B5">
          <w:rPr>
            <w:rFonts w:ascii="PT Astra Serif" w:hAnsi="PT Astra Serif"/>
            <w:color w:val="0000FF"/>
            <w:sz w:val="24"/>
            <w:szCs w:val="24"/>
          </w:rPr>
          <w:t>ст. 17</w:t>
        </w:r>
      </w:hyperlink>
      <w:r w:rsidRPr="00AF62B5">
        <w:rPr>
          <w:rFonts w:ascii="PT Astra Serif" w:hAnsi="PT Astra Serif"/>
          <w:sz w:val="24"/>
          <w:szCs w:val="24"/>
        </w:rPr>
        <w:t xml:space="preserve"> Закона N 135-ФЗ (см., например, </w:t>
      </w:r>
      <w:hyperlink r:id="rId17">
        <w:r w:rsidRPr="00AF62B5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AF62B5">
        <w:rPr>
          <w:rFonts w:ascii="PT Astra Serif" w:hAnsi="PT Astra Serif"/>
          <w:sz w:val="24"/>
          <w:szCs w:val="24"/>
        </w:rPr>
        <w:t xml:space="preserve"> Крымского УФАС России от 11.02.2020 по делу N 082/07/18.1-137/2020, </w:t>
      </w:r>
      <w:hyperlink r:id="rId18">
        <w:r w:rsidRPr="00AF62B5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AF62B5">
        <w:rPr>
          <w:rFonts w:ascii="PT Astra Serif" w:hAnsi="PT Astra Serif"/>
          <w:sz w:val="24"/>
          <w:szCs w:val="24"/>
        </w:rPr>
        <w:t xml:space="preserve"> Кемеровского УФАС России от 22.08.2019 по жалобе N 042/07/3-1359/2019).</w:t>
      </w:r>
    </w:p>
    <w:p w:rsidR="00AF62B5" w:rsidRPr="00AF62B5" w:rsidRDefault="00AF62B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AF62B5" w:rsidRPr="00AF62B5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AF62B5" w:rsidRPr="00AF62B5" w:rsidRDefault="00AF62B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P32"/>
            <w:bookmarkEnd w:id="3"/>
            <w:r w:rsidRPr="00AF62B5">
              <w:rPr>
                <w:rFonts w:ascii="PT Astra Serif" w:hAnsi="PT Astra Serif"/>
                <w:sz w:val="24"/>
                <w:szCs w:val="24"/>
                <w:u w:val="single"/>
              </w:rPr>
              <w:t>Пример формулировки условия</w:t>
            </w:r>
          </w:p>
          <w:p w:rsidR="00AF62B5" w:rsidRPr="00AF62B5" w:rsidRDefault="00AF62B5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Отпуск товара осуществляется на АЗС, расположенных на территории Нижегородской области:</w:t>
            </w:r>
          </w:p>
          <w:p w:rsidR="00AF62B5" w:rsidRPr="00AF62B5" w:rsidRDefault="00AF62B5">
            <w:pPr>
              <w:pStyle w:val="ConsPlusNormal"/>
              <w:numPr>
                <w:ilvl w:val="0"/>
                <w:numId w:val="3"/>
              </w:numPr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в г. Арзамасе;</w:t>
            </w:r>
          </w:p>
          <w:p w:rsidR="00AF62B5" w:rsidRPr="00AF62B5" w:rsidRDefault="00AF62B5">
            <w:pPr>
              <w:pStyle w:val="ConsPlusNormal"/>
              <w:numPr>
                <w:ilvl w:val="0"/>
                <w:numId w:val="3"/>
              </w:numPr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в г. Балахне;</w:t>
            </w:r>
          </w:p>
          <w:p w:rsidR="00AF62B5" w:rsidRPr="00AF62B5" w:rsidRDefault="00AF62B5">
            <w:pPr>
              <w:pStyle w:val="ConsPlusNormal"/>
              <w:numPr>
                <w:ilvl w:val="0"/>
                <w:numId w:val="3"/>
              </w:numPr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на территории г. Нижнего Новгорода - не менее одной АЗС, расположенной на удалении не более 10 км от места нахождения заказчика - ул. Космонавта Комарова, 56, стр. 2.</w:t>
            </w:r>
          </w:p>
          <w:p w:rsidR="00AF62B5" w:rsidRPr="00AF62B5" w:rsidRDefault="00AF62B5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Поставщик должен обеспечить бесперебойный отпуск товара в любой момент обращения в течение всего срока исполнения договора. Режим работы АЗС: ежедневный, круглосуточный.</w:t>
            </w:r>
          </w:p>
        </w:tc>
      </w:tr>
    </w:tbl>
    <w:p w:rsidR="00AF62B5" w:rsidRPr="00AF62B5" w:rsidRDefault="00AF62B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F62B5" w:rsidRPr="00AF62B5" w:rsidRDefault="00AF62B5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4" w:name="P39"/>
      <w:bookmarkEnd w:id="4"/>
      <w:r w:rsidRPr="00AF62B5">
        <w:rPr>
          <w:rFonts w:ascii="PT Astra Serif" w:hAnsi="PT Astra Serif"/>
          <w:b/>
          <w:sz w:val="24"/>
          <w:szCs w:val="24"/>
        </w:rPr>
        <w:t>3. Как учесть особенности определения объема и цены ГСМ</w:t>
      </w:r>
    </w:p>
    <w:p w:rsidR="00AF62B5" w:rsidRPr="00AF62B5" w:rsidRDefault="00AF62B5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>Зачастую бывает затруднительно определить точный объем ГСМ, который вам понадобится в определенный период, кроме того, цена на некоторые виды ГСМ нестабильна. Эти особенности надо учитывать при формировании условий закупки.</w:t>
      </w:r>
    </w:p>
    <w:p w:rsidR="00AF62B5" w:rsidRPr="00AF62B5" w:rsidRDefault="00AF62B5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b/>
          <w:sz w:val="24"/>
          <w:szCs w:val="24"/>
        </w:rPr>
        <w:t>Закупку без указания объема (количества) ГСМ</w:t>
      </w:r>
      <w:r w:rsidRPr="00AF62B5">
        <w:rPr>
          <w:rFonts w:ascii="PT Astra Serif" w:hAnsi="PT Astra Serif"/>
          <w:sz w:val="24"/>
          <w:szCs w:val="24"/>
        </w:rPr>
        <w:t xml:space="preserve"> провести нельзя, поскольку это обязательные сведения для включения в извещение конкурентной закупки (</w:t>
      </w:r>
      <w:hyperlink r:id="rId19">
        <w:r w:rsidRPr="00AF62B5">
          <w:rPr>
            <w:rFonts w:ascii="PT Astra Serif" w:hAnsi="PT Astra Serif"/>
            <w:color w:val="0000FF"/>
            <w:sz w:val="24"/>
            <w:szCs w:val="24"/>
          </w:rPr>
          <w:t>п. 3 ч. 9 ст. 4</w:t>
        </w:r>
      </w:hyperlink>
      <w:r w:rsidRPr="00AF62B5">
        <w:rPr>
          <w:rFonts w:ascii="PT Astra Serif" w:hAnsi="PT Astra Serif"/>
          <w:sz w:val="24"/>
          <w:szCs w:val="24"/>
        </w:rPr>
        <w:t xml:space="preserve"> Закона N 223-ФЗ). Поэтому в случаях, когда не можете точно спрогнозировать объем и планируете получать ГСМ по необходимости, установите, например, следующие условия закупки:</w:t>
      </w:r>
    </w:p>
    <w:p w:rsidR="00AF62B5" w:rsidRPr="00AF62B5" w:rsidRDefault="00AF62B5">
      <w:pPr>
        <w:pStyle w:val="ConsPlusNormal"/>
        <w:numPr>
          <w:ilvl w:val="0"/>
          <w:numId w:val="4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>максимальный объем ГСМ, который может быть поставлен по договору;</w:t>
      </w:r>
    </w:p>
    <w:p w:rsidR="00AF62B5" w:rsidRPr="00AF62B5" w:rsidRDefault="00AF62B5">
      <w:pPr>
        <w:pStyle w:val="ConsPlusNormal"/>
        <w:numPr>
          <w:ilvl w:val="0"/>
          <w:numId w:val="4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>условия о поставке ГСМ по заявкам заказчика и оплате по факту поставки, а также условия о том, что заказчик вправе не выбирать весь объем ГСМ по договору.</w:t>
      </w:r>
    </w:p>
    <w:p w:rsidR="00AF62B5" w:rsidRPr="00AF62B5" w:rsidRDefault="00AF62B5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lastRenderedPageBreak/>
        <w:t>При этом такой порядок закупки должен быть предусмотрен вашим положением о закупке (</w:t>
      </w:r>
      <w:hyperlink r:id="rId20">
        <w:r w:rsidRPr="00AF62B5">
          <w:rPr>
            <w:rFonts w:ascii="PT Astra Serif" w:hAnsi="PT Astra Serif"/>
            <w:color w:val="0000FF"/>
            <w:sz w:val="24"/>
            <w:szCs w:val="24"/>
          </w:rPr>
          <w:t>ч. 2 ст. 2</w:t>
        </w:r>
      </w:hyperlink>
      <w:r w:rsidRPr="00AF62B5">
        <w:rPr>
          <w:rFonts w:ascii="PT Astra Serif" w:hAnsi="PT Astra Serif"/>
          <w:sz w:val="24"/>
          <w:szCs w:val="24"/>
        </w:rPr>
        <w:t xml:space="preserve"> Закона N 223-ФЗ).</w:t>
      </w:r>
    </w:p>
    <w:p w:rsidR="00AF62B5" w:rsidRPr="00AF62B5" w:rsidRDefault="00AF62B5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>Кроме того, вместо стандартного условия о начальной (максимальной) цене договора можете указать (</w:t>
      </w:r>
      <w:hyperlink r:id="rId21">
        <w:r w:rsidRPr="00AF62B5">
          <w:rPr>
            <w:rFonts w:ascii="PT Astra Serif" w:hAnsi="PT Astra Serif"/>
            <w:color w:val="0000FF"/>
            <w:sz w:val="24"/>
            <w:szCs w:val="24"/>
          </w:rPr>
          <w:t>п. 5 ч. 9</w:t>
        </w:r>
      </w:hyperlink>
      <w:r w:rsidRPr="00AF62B5">
        <w:rPr>
          <w:rFonts w:ascii="PT Astra Serif" w:hAnsi="PT Astra Serif"/>
          <w:sz w:val="24"/>
          <w:szCs w:val="24"/>
        </w:rPr>
        <w:t xml:space="preserve">, </w:t>
      </w:r>
      <w:hyperlink r:id="rId22">
        <w:r w:rsidRPr="00AF62B5">
          <w:rPr>
            <w:rFonts w:ascii="PT Astra Serif" w:hAnsi="PT Astra Serif"/>
            <w:color w:val="0000FF"/>
            <w:sz w:val="24"/>
            <w:szCs w:val="24"/>
          </w:rPr>
          <w:t>п. 5 ч. 10 ст. 4</w:t>
        </w:r>
      </w:hyperlink>
      <w:r w:rsidRPr="00AF62B5">
        <w:rPr>
          <w:rFonts w:ascii="PT Astra Serif" w:hAnsi="PT Astra Serif"/>
          <w:sz w:val="24"/>
          <w:szCs w:val="24"/>
        </w:rPr>
        <w:t xml:space="preserve"> Закона N 223-ФЗ):</w:t>
      </w:r>
    </w:p>
    <w:p w:rsidR="00AF62B5" w:rsidRPr="00AF62B5" w:rsidRDefault="00AF62B5">
      <w:pPr>
        <w:pStyle w:val="ConsPlusNormal"/>
        <w:numPr>
          <w:ilvl w:val="0"/>
          <w:numId w:val="5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b/>
          <w:sz w:val="24"/>
          <w:szCs w:val="24"/>
        </w:rPr>
        <w:t>цену единицы товара и максимальное значение цены договора.</w:t>
      </w:r>
      <w:r w:rsidRPr="00AF62B5">
        <w:rPr>
          <w:rFonts w:ascii="PT Astra Serif" w:hAnsi="PT Astra Serif"/>
          <w:sz w:val="24"/>
          <w:szCs w:val="24"/>
        </w:rPr>
        <w:t xml:space="preserve"> В этом случае у вас будет фиксированная цена единицы товара. Но в условиях нестабильных цен на некоторые виды ГСМ, если планируете длительный период поставки, есть риск, что на такую закупку не поступят заявки. Поэтому рекомендуем проводить такую закупку на короткие периоды поставки, </w:t>
      </w:r>
      <w:proofErr w:type="gramStart"/>
      <w:r w:rsidRPr="00AF62B5">
        <w:rPr>
          <w:rFonts w:ascii="PT Astra Serif" w:hAnsi="PT Astra Serif"/>
          <w:sz w:val="24"/>
          <w:szCs w:val="24"/>
        </w:rPr>
        <w:t>например</w:t>
      </w:r>
      <w:proofErr w:type="gramEnd"/>
      <w:r w:rsidRPr="00AF62B5">
        <w:rPr>
          <w:rFonts w:ascii="PT Astra Serif" w:hAnsi="PT Astra Serif"/>
          <w:sz w:val="24"/>
          <w:szCs w:val="24"/>
        </w:rPr>
        <w:t xml:space="preserve"> на квартал;</w:t>
      </w:r>
    </w:p>
    <w:p w:rsidR="00AF62B5" w:rsidRPr="00AF62B5" w:rsidRDefault="00AF62B5">
      <w:pPr>
        <w:pStyle w:val="ConsPlusNormal"/>
        <w:numPr>
          <w:ilvl w:val="0"/>
          <w:numId w:val="5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b/>
          <w:sz w:val="24"/>
          <w:szCs w:val="24"/>
        </w:rPr>
        <w:t>формулу цены и максимальное значение цены договора.</w:t>
      </w:r>
      <w:r w:rsidRPr="00AF62B5">
        <w:rPr>
          <w:rFonts w:ascii="PT Astra Serif" w:hAnsi="PT Astra Serif"/>
          <w:sz w:val="24"/>
          <w:szCs w:val="24"/>
        </w:rPr>
        <w:t xml:space="preserve"> </w:t>
      </w:r>
      <w:hyperlink r:id="rId23">
        <w:r w:rsidRPr="00AF62B5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AF62B5">
        <w:rPr>
          <w:rFonts w:ascii="PT Astra Serif" w:hAnsi="PT Astra Serif"/>
          <w:sz w:val="24"/>
          <w:szCs w:val="24"/>
        </w:rPr>
        <w:t xml:space="preserve"> N 223-ФЗ не устанавливает таких формул, требований к ним или случаев их применения. Полагаем, что вы можете самостоятельно разработать такую формулу для закупки ГСМ.</w:t>
      </w:r>
    </w:p>
    <w:p w:rsidR="00AF62B5" w:rsidRPr="00AF62B5" w:rsidRDefault="00AF62B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AF62B5" w:rsidRPr="00AF62B5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AF62B5" w:rsidRPr="00AF62B5" w:rsidRDefault="00AF62B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5" w:name="P49"/>
            <w:bookmarkEnd w:id="5"/>
            <w:r w:rsidRPr="00AF62B5">
              <w:rPr>
                <w:rFonts w:ascii="PT Astra Serif" w:hAnsi="PT Astra Serif"/>
                <w:sz w:val="24"/>
                <w:szCs w:val="24"/>
                <w:u w:val="single"/>
              </w:rPr>
              <w:t>Пример формулировки условия</w:t>
            </w:r>
          </w:p>
          <w:p w:rsidR="00AF62B5" w:rsidRPr="00AF62B5" w:rsidRDefault="00AF62B5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Цена договора будет определена по формуле:</w:t>
            </w:r>
          </w:p>
          <w:p w:rsidR="00AF62B5" w:rsidRPr="00AF62B5" w:rsidRDefault="00AF62B5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F62B5" w:rsidRPr="00AF62B5" w:rsidRDefault="00AF62B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Ц договора = Ц 1 л ГСМ x V ГСМ,</w:t>
            </w:r>
          </w:p>
          <w:p w:rsidR="00AF62B5" w:rsidRPr="00AF62B5" w:rsidRDefault="00AF62B5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F62B5" w:rsidRPr="00AF62B5" w:rsidRDefault="00AF62B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где Ц 1 л ГСМ - цена за 1 л топлива, установленная для розничных продаж на АЗС на день отпуска товара, но не более цены за 1 л топлива, указанной в спецификации к договору;</w:t>
            </w:r>
          </w:p>
          <w:p w:rsidR="00AF62B5" w:rsidRPr="00AF62B5" w:rsidRDefault="00AF62B5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2B5">
              <w:rPr>
                <w:rFonts w:ascii="PT Astra Serif" w:hAnsi="PT Astra Serif"/>
                <w:sz w:val="24"/>
                <w:szCs w:val="24"/>
              </w:rPr>
              <w:t>V ГСМ - объем топлива на весь срок действия договора.</w:t>
            </w:r>
          </w:p>
        </w:tc>
      </w:tr>
    </w:tbl>
    <w:p w:rsidR="00AF62B5" w:rsidRPr="00AF62B5" w:rsidRDefault="00AF62B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F62B5" w:rsidRPr="00AF62B5" w:rsidRDefault="00AF62B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F62B5">
        <w:rPr>
          <w:rFonts w:ascii="PT Astra Serif" w:hAnsi="PT Astra Serif"/>
          <w:sz w:val="24"/>
          <w:szCs w:val="24"/>
        </w:rPr>
        <w:t>При этом учтите, что при проведении аукциона победитель снижает начальную (максимальную) цену договора. Поэтому, если используете цену единицы товара или формулу цены и максимальное значение цены, целесообразно выбрать другой способ определения поставщика (</w:t>
      </w:r>
      <w:hyperlink r:id="rId24">
        <w:r w:rsidRPr="00AF62B5">
          <w:rPr>
            <w:rFonts w:ascii="PT Astra Serif" w:hAnsi="PT Astra Serif"/>
            <w:color w:val="0000FF"/>
            <w:sz w:val="24"/>
            <w:szCs w:val="24"/>
          </w:rPr>
          <w:t>ч. 18 ст. 3.2</w:t>
        </w:r>
      </w:hyperlink>
      <w:r w:rsidRPr="00AF62B5">
        <w:rPr>
          <w:rFonts w:ascii="PT Astra Serif" w:hAnsi="PT Astra Serif"/>
          <w:sz w:val="24"/>
          <w:szCs w:val="24"/>
        </w:rPr>
        <w:t xml:space="preserve"> Закона N 223-ФЗ).</w:t>
      </w:r>
    </w:p>
    <w:p w:rsidR="00AF62B5" w:rsidRPr="00AF62B5" w:rsidRDefault="00AF62B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D6004" w:rsidRPr="00AF62B5" w:rsidRDefault="00AD6004">
      <w:pPr>
        <w:rPr>
          <w:rFonts w:ascii="PT Astra Serif" w:hAnsi="PT Astra Serif"/>
          <w:sz w:val="24"/>
          <w:szCs w:val="24"/>
        </w:rPr>
      </w:pPr>
    </w:p>
    <w:sectPr w:rsidR="00AD6004" w:rsidRPr="00AF62B5" w:rsidSect="00AB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B2D"/>
    <w:multiLevelType w:val="multilevel"/>
    <w:tmpl w:val="ED6ABD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C83DBE"/>
    <w:multiLevelType w:val="multilevel"/>
    <w:tmpl w:val="EB3E31E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41415E"/>
    <w:multiLevelType w:val="multilevel"/>
    <w:tmpl w:val="EC3C7F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0E2B70"/>
    <w:multiLevelType w:val="multilevel"/>
    <w:tmpl w:val="5832FC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FA4F15"/>
    <w:multiLevelType w:val="multilevel"/>
    <w:tmpl w:val="2D2EAF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B5"/>
    <w:rsid w:val="00596A07"/>
    <w:rsid w:val="00AD6004"/>
    <w:rsid w:val="00A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648E-A382-4011-BFD9-35B3B483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2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AF62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C55DCA3ABF390F6A95347C0FEB2896264971C29A157B94BC2A71B411D47F1594CA018439A3B24E3A27013F5D56E8C2BD7819CA576899ECCV3F" TargetMode="External"/><Relationship Id="rId13" Type="http://schemas.openxmlformats.org/officeDocument/2006/relationships/hyperlink" Target="consultantplus://offline/ref=874C55DCA3ABF390F6A94C53C5FEB28962649E1C2DA257B94BC2A71B411D47F1594CA018439A3B21E5A27013F5D56E8C2BD7819CA576899ECCV3F" TargetMode="External"/><Relationship Id="rId18" Type="http://schemas.openxmlformats.org/officeDocument/2006/relationships/hyperlink" Target="consultantplus://offline/ref=874C55DCA3ABF390F6A95053C1FEB289666B93132FAA57B94BC2A71B411D47F1594CA018439A3B22E2A27013F5D56E8C2BD7819CA576899ECCV3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4C55DCA3ABF390F6A94C53C5FEB289676F95112FA457B94BC2A71B411D47F1594CA01A4A923075B2ED714FB0807D8D28D7839FB9C7V7F" TargetMode="External"/><Relationship Id="rId7" Type="http://schemas.openxmlformats.org/officeDocument/2006/relationships/hyperlink" Target="consultantplus://offline/ref=874C55DCA3ABF390F6A94C53C5FEB289676D9E1428A457B94BC2A71B411D47F1594CA01A45923075B2ED714FB0807D8D28D7839FB9C7V7F" TargetMode="External"/><Relationship Id="rId12" Type="http://schemas.openxmlformats.org/officeDocument/2006/relationships/hyperlink" Target="consultantplus://offline/ref=874C55DCA3ABF390F6A94C53C5FEB289676F95112FA457B94BC2A71B411D47F1594CA018439A3921EBA27013F5D56E8C2BD7819CA576899ECCV3F" TargetMode="External"/><Relationship Id="rId17" Type="http://schemas.openxmlformats.org/officeDocument/2006/relationships/hyperlink" Target="consultantplus://offline/ref=874C55DCA3ABF390F6A95053C1FEB289656E90162CA057B94BC2A71B411D47F1594CA018439A3B22E7A27013F5D56E8C2BD7819CA576899ECCV3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4C55DCA3ABF390F6A94C53C5FEB289676F90162BA157B94BC2A71B411D47F1594CA01F46933075B2ED714FB0807D8D28D7839FB9C7V7F" TargetMode="External"/><Relationship Id="rId20" Type="http://schemas.openxmlformats.org/officeDocument/2006/relationships/hyperlink" Target="consultantplus://offline/ref=874C55DCA3ABF390F6A94C53C5FEB289676F95112FA457B94BC2A71B411D47F1594CA01C429C3075B2ED714FB0807D8D28D7839FB9C7V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4C55DCA3ABF390F6A94C53C5FEB289676F95112FA457B94BC2A71B411D47F1594CA01A4B9C3075B2ED714FB0807D8D28D7839FB9C7V7F" TargetMode="External"/><Relationship Id="rId11" Type="http://schemas.openxmlformats.org/officeDocument/2006/relationships/hyperlink" Target="consultantplus://offline/ref=874C55DCA3ABF390F6A94C53C5FEB28962649E1C2DA257B94BC2A71B411D47F1594CA01B46993075B2ED714FB0807D8D28D7839FB9C7V7F" TargetMode="External"/><Relationship Id="rId24" Type="http://schemas.openxmlformats.org/officeDocument/2006/relationships/hyperlink" Target="consultantplus://offline/ref=874C55DCA3ABF390F6A94C53C5FEB289676F95112FA457B94BC2A71B411D47F1594CA01B459E3075B2ED714FB0807D8D28D7839FB9C7V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74C55DCA3ABF390F6A94C53C5FEB289676F95112FA457B94BC2A71B411D47F1594CA018439A3B22E6A27013F5D56E8C2BD7819CA576899ECCV3F" TargetMode="External"/><Relationship Id="rId23" Type="http://schemas.openxmlformats.org/officeDocument/2006/relationships/hyperlink" Target="consultantplus://offline/ref=874C55DCA3ABF390F6A94C53C5FEB289676F95112FA457B94BC2A71B411D47F14B4CF814429A2521E0B72642B3C8V3F" TargetMode="External"/><Relationship Id="rId10" Type="http://schemas.openxmlformats.org/officeDocument/2006/relationships/hyperlink" Target="consultantplus://offline/ref=874C55DCA3ABF390F6A94C53C5FEB28962649E1C2DA257B94BC2A71B411D47F1594CA01B469B3075B2ED714FB0807D8D28D7839FB9C7V7F" TargetMode="External"/><Relationship Id="rId19" Type="http://schemas.openxmlformats.org/officeDocument/2006/relationships/hyperlink" Target="consultantplus://offline/ref=874C55DCA3ABF390F6A94C53C5FEB289676F95112FA457B94BC2A71B411D47F1594CA01A4A9C3075B2ED714FB0807D8D28D7839FB9C7V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C55DCA3ABF390F6A94C53C5FEB289676F95112FA457B94BC2A71B411D47F1594CA01B4A9E3075B2ED714FB0807D8D28D7839FB9C7V7F" TargetMode="External"/><Relationship Id="rId14" Type="http://schemas.openxmlformats.org/officeDocument/2006/relationships/hyperlink" Target="consultantplus://offline/ref=874C55DCA3ABF390F6A95255C196E7DA6E6F961629A357B94BC2A71B411D47F1594CA018439A3B25E3A27013F5D56E8C2BD7819CA576899ECCV3F" TargetMode="External"/><Relationship Id="rId22" Type="http://schemas.openxmlformats.org/officeDocument/2006/relationships/hyperlink" Target="consultantplus://offline/ref=874C55DCA3ABF390F6A94C53C5FEB289676F95112FA457B94BC2A71B411D47F1594CA01D43923075B2ED714FB0807D8D28D7839FB9C7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2023-03-10T05:21:00Z</dcterms:created>
  <dcterms:modified xsi:type="dcterms:W3CDTF">2023-03-16T05:08:00Z</dcterms:modified>
</cp:coreProperties>
</file>