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7A78D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8B2B27">
              <w:rPr>
                <w:rFonts w:ascii="PT Astra Serif" w:hAnsi="PT Astra Serif"/>
                <w:b/>
                <w:sz w:val="48"/>
                <w:szCs w:val="48"/>
              </w:rPr>
              <w:t>январь</w:t>
            </w:r>
            <w:r w:rsidR="00D16D5A">
              <w:rPr>
                <w:rFonts w:ascii="PT Astra Serif" w:hAnsi="PT Astra Serif"/>
                <w:b/>
                <w:sz w:val="48"/>
                <w:szCs w:val="48"/>
              </w:rPr>
              <w:t>-февраль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364641">
              <w:rPr>
                <w:rFonts w:ascii="PT Astra Serif" w:hAnsi="PT Astra Serif"/>
                <w:b/>
                <w:sz w:val="48"/>
                <w:szCs w:val="48"/>
              </w:rPr>
              <w:t>23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950482" w:rsidRDefault="00D67207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3004F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proofErr w:type="gramEnd"/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AB7B1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AB7B14">
        <w:rPr>
          <w:rFonts w:ascii="PT Astra Serif" w:hAnsi="PT Astra Serif"/>
          <w:sz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FA0034">
        <w:rPr>
          <w:rFonts w:ascii="PT Astra Serif" w:hAnsi="PT Astra Serif"/>
          <w:sz w:val="28"/>
        </w:rPr>
        <w:t xml:space="preserve">в </w:t>
      </w:r>
      <w:r w:rsidR="00D67207" w:rsidRPr="00D04553">
        <w:rPr>
          <w:rFonts w:ascii="PT Astra Serif" w:hAnsi="PT Astra Serif"/>
          <w:sz w:val="28"/>
        </w:rPr>
        <w:t>Приложени</w:t>
      </w:r>
      <w:r w:rsidR="00FA0034">
        <w:rPr>
          <w:rFonts w:ascii="PT Astra Serif" w:hAnsi="PT Astra Serif"/>
          <w:sz w:val="28"/>
        </w:rPr>
        <w:t>и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ту.</w:t>
      </w:r>
    </w:p>
    <w:p w:rsidR="00D67207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51466" w:rsidRPr="007A78D4" w:rsidRDefault="00351466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Pr="00950482" w:rsidRDefault="00F30080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М</w:t>
      </w:r>
      <w:r w:rsidR="00313804" w:rsidRPr="00950482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 w:rsidRPr="00950482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 xml:space="preserve">посредством сбора, обобщения, систематизации и оценки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</w:t>
      </w:r>
      <w:r w:rsidR="003A235D">
        <w:rPr>
          <w:rFonts w:ascii="PT Astra Serif" w:hAnsi="PT Astra Serif"/>
          <w:sz w:val="28"/>
          <w:szCs w:val="28"/>
        </w:rPr>
        <w:t>9</w:t>
      </w:r>
      <w:r w:rsidR="00A53964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7A7A50" w:rsidRDefault="00823987" w:rsidP="00B5568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Аналитическая справка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="00437F8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заказчиками размещено в ЕИС 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47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планов-графиков, что составило 9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="00B5568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%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351466" w:rsidRDefault="00351466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3460" w:rsidRPr="00950482" w:rsidRDefault="008B2B27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Аналитические справки по осуществлению закупок</w:t>
      </w:r>
    </w:p>
    <w:p w:rsidR="004A3DFF" w:rsidRDefault="008B2B27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Информация об объёме экономии по проведённым конкурентным процедурам, в том числе на бюджет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года, в разрезе главных распорядителей бюджетных средств Ульяновской области, включая подведомственную сеть (ежемесячно).</w:t>
      </w:r>
    </w:p>
    <w:p w:rsidR="004E103F" w:rsidRDefault="004E103F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E84DFA" w:rsidRPr="00A748DD" w:rsidRDefault="00E84DFA" w:rsidP="00A748DD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48DD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24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</w:t>
      </w:r>
      <w:proofErr w:type="gramStart"/>
      <w:r w:rsidRPr="009F725E">
        <w:rPr>
          <w:rFonts w:ascii="PT Astra Serif" w:hAnsi="PT Astra Serif"/>
          <w:sz w:val="28"/>
          <w:szCs w:val="28"/>
        </w:rPr>
        <w:t>в(</w:t>
      </w:r>
      <w:proofErr w:type="gramEnd"/>
      <w:r w:rsidRPr="009F725E">
        <w:rPr>
          <w:rFonts w:ascii="PT Astra Serif" w:hAnsi="PT Astra Serif"/>
          <w:sz w:val="28"/>
          <w:szCs w:val="28"/>
        </w:rPr>
        <w:t xml:space="preserve">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электронных магазинах для закупок малого объ</w:t>
      </w:r>
      <w:r w:rsidR="00A748DD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340D67" w:rsidRDefault="00340D67" w:rsidP="00340D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340D67" w:rsidRPr="00300929" w:rsidTr="00E62298">
        <w:tc>
          <w:tcPr>
            <w:tcW w:w="9640" w:type="dxa"/>
            <w:gridSpan w:val="4"/>
          </w:tcPr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340D67" w:rsidRPr="00300929" w:rsidTr="00E62298">
        <w:tc>
          <w:tcPr>
            <w:tcW w:w="709" w:type="dxa"/>
          </w:tcPr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gramStart"/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01" w:type="dxa"/>
          </w:tcPr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340D67" w:rsidRPr="00300929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340D67" w:rsidRPr="00300929" w:rsidTr="00E62298">
        <w:tc>
          <w:tcPr>
            <w:tcW w:w="709" w:type="dxa"/>
            <w:tcBorders>
              <w:bottom w:val="single" w:sz="4" w:space="0" w:color="auto"/>
            </w:tcBorders>
          </w:tcPr>
          <w:p w:rsidR="00340D67" w:rsidRPr="004A3DFF" w:rsidRDefault="00340D67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D67" w:rsidRPr="004A3DFF" w:rsidRDefault="00340D67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340D67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 xml:space="preserve">Обзор изменений методических рекомендаций Агентства </w:t>
            </w:r>
            <w:proofErr w:type="spellStart"/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госзакупок</w:t>
            </w:r>
            <w:proofErr w:type="spellEnd"/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 xml:space="preserve"> Ульяновской области:</w:t>
            </w:r>
          </w:p>
          <w:p w:rsidR="00A748DD" w:rsidRPr="00340D67" w:rsidRDefault="00A748DD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40D67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— рекомендуемые формы документов и методические рекомендации, используемые заказчиками при подготовке к осуществлению закупок товаров, работ, услуг;</w:t>
            </w:r>
          </w:p>
          <w:p w:rsidR="00A748DD" w:rsidRPr="00340D67" w:rsidRDefault="00A748DD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40D67" w:rsidRPr="004A3DFF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— типовые формы документов, используемые при организации и осуществлении закупок товаров, работ, услуг.</w:t>
            </w:r>
          </w:p>
        </w:tc>
        <w:tc>
          <w:tcPr>
            <w:tcW w:w="1701" w:type="dxa"/>
          </w:tcPr>
          <w:p w:rsidR="00340D67" w:rsidRPr="004A3DFF" w:rsidRDefault="00A748DD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152</w:t>
            </w:r>
          </w:p>
        </w:tc>
      </w:tr>
      <w:tr w:rsidR="00340D67" w:rsidRPr="00300929" w:rsidTr="003524AC"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340D67" w:rsidRPr="00340D67" w:rsidRDefault="00340D67" w:rsidP="00E6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340D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340D67" w:rsidRPr="00A748DD" w:rsidRDefault="00A748DD" w:rsidP="00E62298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A748D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152</w:t>
            </w:r>
          </w:p>
        </w:tc>
      </w:tr>
    </w:tbl>
    <w:p w:rsidR="00340D67" w:rsidRDefault="00340D67" w:rsidP="003E7809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F2CBC" w:rsidRDefault="006F2CBC" w:rsidP="003E7809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A748DD">
      <w:pPr>
        <w:numPr>
          <w:ilvl w:val="0"/>
          <w:numId w:val="40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 w:rsidR="00A748DD">
        <w:rPr>
          <w:rFonts w:ascii="PT Astra Serif" w:hAnsi="PT Astra Serif"/>
          <w:sz w:val="28"/>
          <w:szCs w:val="28"/>
        </w:rPr>
        <w:t xml:space="preserve">в РИС </w:t>
      </w:r>
      <w:r>
        <w:rPr>
          <w:rFonts w:ascii="PT Astra Serif" w:hAnsi="PT Astra Serif"/>
          <w:sz w:val="28"/>
          <w:szCs w:val="28"/>
        </w:rPr>
        <w:t xml:space="preserve">АЦК-Госзаказ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6F2CBC" w:rsidRDefault="006F2CBC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  <w:r w:rsidR="003A235D">
              <w:rPr>
                <w:rStyle w:val="af3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95048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3A2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7AE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Pr="008516EF" w:rsidRDefault="003247AE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A748D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A88" w:rsidRPr="008516EF" w:rsidTr="004F786A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8516EF" w:rsidRDefault="00DE4A88" w:rsidP="004F7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A748DD" w:rsidRDefault="00A748DD" w:rsidP="00C7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DD">
              <w:rPr>
                <w:rFonts w:ascii="Times New Roman" w:hAnsi="Times New Roman"/>
                <w:b/>
                <w:sz w:val="24"/>
                <w:szCs w:val="24"/>
              </w:rPr>
              <w:t>1 814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A748DD" w:rsidRDefault="00A748DD" w:rsidP="00C7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DD">
              <w:rPr>
                <w:rFonts w:ascii="Times New Roman" w:hAnsi="Times New Roman"/>
                <w:b/>
                <w:sz w:val="24"/>
                <w:szCs w:val="24"/>
              </w:rPr>
              <w:t>1 837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A748DD" w:rsidRDefault="00A748DD" w:rsidP="004F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E4A88" w:rsidRDefault="00DE4A8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A748DD">
      <w:pPr>
        <w:numPr>
          <w:ilvl w:val="0"/>
          <w:numId w:val="40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lastRenderedPageBreak/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AB7B1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DE4A88" w:rsidRDefault="00DE4A88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1903"/>
      </w:tblGrid>
      <w:tr w:rsidR="007909B1" w:rsidRPr="008516EF" w:rsidTr="00950482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950482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950482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950482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2D3638" w:rsidRDefault="007909B1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 w:rsidRPr="002D3638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3A235D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200</w:t>
            </w:r>
          </w:p>
        </w:tc>
      </w:tr>
      <w:tr w:rsidR="003247AE" w:rsidRPr="008516EF" w:rsidTr="00950482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Pr="002D3638" w:rsidRDefault="003247AE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284</w:t>
            </w:r>
          </w:p>
        </w:tc>
      </w:tr>
      <w:tr w:rsidR="003A235D" w:rsidRPr="008516EF" w:rsidTr="00950482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41662D" w:rsidRDefault="003A235D" w:rsidP="003A235D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1662D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6C517B" w:rsidRDefault="003247AE" w:rsidP="003A235D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3A235D" w:rsidRDefault="003247AE" w:rsidP="003A235D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3A235D" w:rsidRDefault="003247AE" w:rsidP="003A23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3A235D" w:rsidRDefault="003247AE" w:rsidP="003A23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6C517B" w:rsidRDefault="003247AE" w:rsidP="003A235D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484</w:t>
            </w:r>
          </w:p>
        </w:tc>
      </w:tr>
    </w:tbl>
    <w:p w:rsidR="00D404E6" w:rsidRDefault="00D404E6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A748DD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A2F96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AB7B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 w:rsidR="00AB7B14"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осуществляется </w:t>
      </w:r>
      <w:r w:rsidR="007B63E5">
        <w:rPr>
          <w:rFonts w:ascii="PT Astra Serif" w:hAnsi="PT Astra Serif"/>
          <w:sz w:val="28"/>
          <w:szCs w:val="28"/>
        </w:rPr>
        <w:t xml:space="preserve">ежемесячный </w:t>
      </w:r>
      <w:r>
        <w:rPr>
          <w:rFonts w:ascii="PT Astra Serif" w:hAnsi="PT Astra Serif"/>
          <w:sz w:val="28"/>
          <w:szCs w:val="28"/>
        </w:rPr>
        <w:t>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>заключённых заказчиками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7B63E5" w:rsidRPr="007F4FC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="007F4FC2" w:rsidRPr="006A533D">
        <w:rPr>
          <w:rFonts w:ascii="PT Astra Serif" w:hAnsi="PT Astra Serif"/>
          <w:sz w:val="28"/>
          <w:szCs w:val="28"/>
        </w:rPr>
        <w:t xml:space="preserve">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C12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7255">
        <w:rPr>
          <w:rFonts w:ascii="PT Astra Serif" w:hAnsi="PT Astra Serif"/>
          <w:sz w:val="28"/>
          <w:szCs w:val="28"/>
          <w:lang w:eastAsia="ru-RU"/>
        </w:rPr>
        <w:t xml:space="preserve">(согласно 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>распоряжени</w:t>
      </w:r>
      <w:r w:rsidR="00687255">
        <w:rPr>
          <w:rFonts w:ascii="PT Astra Serif" w:hAnsi="PT Astra Serif"/>
          <w:sz w:val="28"/>
          <w:szCs w:val="28"/>
          <w:lang w:eastAsia="ru-RU"/>
        </w:rPr>
        <w:t>ю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Агентства государственных закупок Ульяновской области от 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lastRenderedPageBreak/>
        <w:t>07.12.2020 № 63-р «Об</w:t>
      </w:r>
      <w:proofErr w:type="gramEnd"/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687255" w:rsidRPr="00687255">
        <w:rPr>
          <w:rFonts w:ascii="PT Astra Serif" w:hAnsi="PT Astra Serif"/>
          <w:sz w:val="28"/>
          <w:szCs w:val="28"/>
          <w:lang w:eastAsia="ru-RU"/>
        </w:rPr>
        <w:t>утверждении Перечня товаров, работ, услуг, реализуемых на территории Ульяновской области, цены на которые подлежат мониторингу в реестре контрактов, заключённых заказчиками, размещённом в единой информационной системе в сфере закупок»</w:t>
      </w:r>
      <w:r w:rsidR="00631E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1EA9" w:rsidRPr="00631EA9">
        <w:rPr>
          <w:rFonts w:ascii="PT Astra Serif" w:hAnsi="PT Astra Serif"/>
          <w:i/>
          <w:sz w:val="28"/>
          <w:szCs w:val="28"/>
          <w:lang w:eastAsia="ru-RU"/>
        </w:rPr>
        <w:t>в редакции распоряжения</w:t>
      </w:r>
      <w:r w:rsidR="00631EA9" w:rsidRPr="00631EA9">
        <w:rPr>
          <w:i/>
        </w:rPr>
        <w:t xml:space="preserve"> </w:t>
      </w:r>
      <w:r w:rsidR="00631EA9" w:rsidRPr="00631EA9">
        <w:rPr>
          <w:rFonts w:ascii="PT Astra Serif" w:hAnsi="PT Astra Serif"/>
          <w:i/>
          <w:sz w:val="28"/>
          <w:szCs w:val="28"/>
          <w:lang w:eastAsia="ru-RU"/>
        </w:rPr>
        <w:t>Агентства государственных закупок Ульяновской области от 12.08.2022 № 31-р</w:t>
      </w:r>
      <w:r w:rsidR="00687255">
        <w:rPr>
          <w:rFonts w:ascii="PT Astra Serif" w:hAnsi="PT Astra Serif"/>
          <w:sz w:val="28"/>
          <w:szCs w:val="28"/>
          <w:lang w:eastAsia="ru-RU"/>
        </w:rPr>
        <w:t>)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B40241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24BAA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B402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Анализ </w:t>
      </w:r>
      <w:r w:rsidR="00124BA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закупок, проведенных через Уполномоченный орган, </w:t>
      </w:r>
    </w:p>
    <w:p w:rsidR="003035FA" w:rsidRDefault="00124BA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реализации национальных и федеральных проектов</w:t>
      </w:r>
    </w:p>
    <w:p w:rsidR="00124BAA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Планом мероприятий, направленных на предупреждение и пресечение правонарушений, выявляемых в ходе реализации национальных и федеральных проектов в Ульяновской области, на 202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 год, утвержденным Губерн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атором Ульяновской области, от 17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.01.202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3 № 6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-ПЛ ежемесячно осуществляется подготовка и направление информаци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5D3980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государственных и муниципальных закупок и о членах комиссий по осуществлению закупок для дальнейшего анализа на предмет установления их аффилированных связей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D3980" w:rsidRPr="005D398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торгов, допустивших в ходе</w:t>
      </w:r>
      <w:r w:rsidR="00AB7B1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закупочных процедур снижение начальной (максимальной) цены контракта более 25%;</w:t>
      </w:r>
    </w:p>
    <w:p w:rsidR="00124BAA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участии одного поставщика в трех и более контрактах одновременно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01177" w:rsidRPr="00C941BF" w:rsidRDefault="00501177" w:rsidP="0050117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7B63E5" w:rsidRDefault="007B63E5" w:rsidP="007B63E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7B63E5" w:rsidRDefault="007B63E5" w:rsidP="004B023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подготовлены аналитические и презентационные материалы 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 xml:space="preserve">по </w:t>
      </w:r>
      <w:r w:rsidR="00950482" w:rsidRPr="00950482">
        <w:rPr>
          <w:rFonts w:ascii="PT Astra Serif" w:eastAsia="Times New Roman" w:hAnsi="PT Astra Serif"/>
          <w:sz w:val="28"/>
          <w:szCs w:val="28"/>
          <w:lang w:eastAsia="ru-RU"/>
        </w:rPr>
        <w:t>итог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ам</w:t>
      </w:r>
      <w:r w:rsidR="00950482" w:rsidRPr="00950482">
        <w:rPr>
          <w:rFonts w:ascii="PT Astra Serif" w:eastAsia="Times New Roman" w:hAnsi="PT Astra Serif"/>
          <w:sz w:val="28"/>
          <w:szCs w:val="28"/>
          <w:lang w:eastAsia="ru-RU"/>
        </w:rPr>
        <w:t xml:space="preserve"> закупочной деятельности за 2022 год в рамках Штаба по комплексному развитию региона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31</w:t>
      </w:r>
      <w:r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2A535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464E5" w:rsidRDefault="002A535E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материалы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нормативному регулированию и объ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 закупок товаров, работ, услуг</w:t>
      </w:r>
      <w:r w:rsidR="00620666" w:rsidRPr="00620666">
        <w:t xml:space="preserve"> </w:t>
      </w:r>
      <w:r w:rsidR="00620666" w:rsidRP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2022 год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проведённых заказчиками Ульяновской области с преимуществом 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учреждени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предприяти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уголовно-исполнительной системы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рамках 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совещани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вопросу взаимодействия с учреждениями УФСИН России по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(31.01.2023)</w:t>
      </w:r>
      <w:r w:rsid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904DDF" w:rsidRPr="00B40241" w:rsidRDefault="006464E5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и презентационные материалы об итогах работы Агентства государственных закупок Ульяновской области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в рамках расширенного заседания коллегии Агентства государственны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х закупок Ульяновской области (20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5446BD" w:rsidSect="00091DAA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37935" w:rsidRDefault="007213CF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8380730</wp:posOffset>
                </wp:positionH>
                <wp:positionV relativeFrom="paragraph">
                  <wp:posOffset>-522605</wp:posOffset>
                </wp:positionV>
                <wp:extent cx="1221105" cy="50482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915F85" w:rsidRDefault="003247AE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247AE" w:rsidRPr="000842DB" w:rsidRDefault="003247AE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59.9pt;margin-top:-41.15pt;width:96.15pt;height:3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" filled="f" stroked="f">
                <v:textbox>
                  <w:txbxContent>
                    <w:p w:rsidR="003247AE" w:rsidRPr="00915F85" w:rsidRDefault="003247AE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3247AE" w:rsidRPr="000842DB" w:rsidRDefault="003247AE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16D5A">
        <w:rPr>
          <w:noProof/>
          <w:lang w:eastAsia="ru-RU"/>
        </w:rPr>
        <w:drawing>
          <wp:inline distT="0" distB="0" distL="0" distR="0" wp14:anchorId="50515945" wp14:editId="3D29C029">
            <wp:extent cx="9477375" cy="5248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935" w:rsidRDefault="00037935" w:rsidP="00037935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>* по данным протоколов подведения итогов 2023 года</w:t>
      </w:r>
    </w:p>
    <w:p w:rsidR="003F3BFD" w:rsidRDefault="00F6050D" w:rsidP="00111E7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505460</wp:posOffset>
                </wp:positionV>
                <wp:extent cx="395605" cy="300355"/>
                <wp:effectExtent l="0" t="0" r="23495" b="2349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BBE2A" id="Rectangle 113" o:spid="_x0000_s1026" style="position:absolute;margin-left:5.4pt;margin-top:39.8pt;width:31.15pt;height:2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" strokecolor="white"/>
            </w:pict>
          </mc:Fallback>
        </mc:AlternateContent>
      </w:r>
    </w:p>
    <w:p w:rsidR="00B52CCB" w:rsidRDefault="00F6050D" w:rsidP="00FC2EE9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8341360</wp:posOffset>
                </wp:positionH>
                <wp:positionV relativeFrom="paragraph">
                  <wp:posOffset>-424180</wp:posOffset>
                </wp:positionV>
                <wp:extent cx="1282700" cy="415290"/>
                <wp:effectExtent l="0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937DDA" w:rsidRDefault="003247AE" w:rsidP="0001273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</w:rPr>
                              <w:t>Ди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аграмма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27" type="#_x0000_t202" style="position:absolute;margin-left:656.8pt;margin-top:-33.4pt;width:101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oP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" stroked="f">
                <v:textbox>
                  <w:txbxContent>
                    <w:p w:rsidR="003247AE" w:rsidRPr="00937DDA" w:rsidRDefault="003247AE" w:rsidP="0001273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</w:rPr>
                        <w:t>Ди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аграмма 2</w:t>
                      </w:r>
                    </w:p>
                  </w:txbxContent>
                </v:textbox>
              </v:shape>
            </w:pict>
          </mc:Fallback>
        </mc:AlternateContent>
      </w:r>
      <w:r w:rsidR="00D16D5A">
        <w:rPr>
          <w:noProof/>
          <w:lang w:eastAsia="ru-RU"/>
        </w:rPr>
        <w:drawing>
          <wp:inline distT="0" distB="0" distL="0" distR="0" wp14:anchorId="54B00695" wp14:editId="3BF99158">
            <wp:extent cx="9515475" cy="5724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3CF" w:rsidRDefault="007213CF" w:rsidP="007213CF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>* по данным протоколов подведения итогов 2023 года</w:t>
      </w:r>
    </w:p>
    <w:p w:rsidR="001351DA" w:rsidRDefault="001351DA" w:rsidP="00FC2EE9">
      <w:pPr>
        <w:rPr>
          <w:noProof/>
          <w:lang w:eastAsia="ru-RU"/>
        </w:rPr>
      </w:pPr>
    </w:p>
    <w:p w:rsidR="00053AE3" w:rsidRDefault="002F7ECB" w:rsidP="00FC2E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-480060</wp:posOffset>
                </wp:positionV>
                <wp:extent cx="1282700" cy="415290"/>
                <wp:effectExtent l="0" t="0" r="0" b="381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937DDA" w:rsidRDefault="003247AE" w:rsidP="00C47B67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A7F27">
                              <w:rPr>
                                <w:rFonts w:ascii="PT Astra Serif" w:hAnsi="PT Astra Serif"/>
                                <w:sz w:val="28"/>
                              </w:rPr>
                              <w:t>Диаграмма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28" type="#_x0000_t202" style="position:absolute;margin-left:657.3pt;margin-top:-37.8pt;width:101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H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" stroked="f">
                <v:textbox>
                  <w:txbxContent>
                    <w:p w:rsidR="003247AE" w:rsidRPr="00937DDA" w:rsidRDefault="003247AE" w:rsidP="00C47B67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0A7F27">
                        <w:rPr>
                          <w:rFonts w:ascii="PT Astra Serif" w:hAnsi="PT Astra Serif"/>
                          <w:sz w:val="28"/>
                        </w:rPr>
                        <w:t>Диаграмма 3</w:t>
                      </w:r>
                    </w:p>
                  </w:txbxContent>
                </v:textbox>
              </v:shape>
            </w:pict>
          </mc:Fallback>
        </mc:AlternateContent>
      </w:r>
      <w:r w:rsidR="00CC795E">
        <w:rPr>
          <w:noProof/>
          <w:lang w:eastAsia="ru-RU"/>
        </w:rPr>
        <w:drawing>
          <wp:inline distT="0" distB="0" distL="0" distR="0" wp14:anchorId="7E8F3E3D" wp14:editId="5323621A">
            <wp:extent cx="9277350" cy="49625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6F2CC8" w:rsidRDefault="008B16B0" w:rsidP="00FC2EE9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154305</wp:posOffset>
                </wp:positionV>
                <wp:extent cx="9629775" cy="800100"/>
                <wp:effectExtent l="0" t="0" r="9525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Default="003247AE" w:rsidP="002F5B76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у СМП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>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в текущем году (как через уполномоченный орган, так</w:t>
                            </w:r>
                            <w:r w:rsidR="0036510E">
                              <w:rPr>
                                <w:rFonts w:ascii="PT Astra Serif" w:hAnsi="PT Astra Serif"/>
                              </w:rPr>
                              <w:t xml:space="preserve"> и самостоятельно заказчиками)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9" type="#_x0000_t202" style="position:absolute;margin-left:-.7pt;margin-top:12.15pt;width:758.2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ls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" stroked="f">
                <v:textbox>
                  <w:txbxContent>
                    <w:p w:rsidR="003247AE" w:rsidRDefault="003247AE" w:rsidP="002F5B76">
                      <w:pPr>
                        <w:spacing w:after="0" w:line="240" w:lineRule="auto"/>
                        <w:jc w:val="both"/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</w:t>
                      </w:r>
                      <w:r>
                        <w:rPr>
                          <w:rFonts w:ascii="PT Astra Serif" w:hAnsi="PT Astra Serif"/>
                        </w:rPr>
                        <w:t xml:space="preserve"> у СМП</w:t>
                      </w:r>
                      <w:r w:rsidRPr="008B53EE">
                        <w:rPr>
                          <w:rFonts w:ascii="PT Astra Serif" w:hAnsi="PT Astra Serif"/>
                        </w:rPr>
                        <w:t>, провед</w:t>
                      </w:r>
                      <w:r>
                        <w:rPr>
                          <w:rFonts w:ascii="PT Astra Serif" w:hAnsi="PT Astra Serif"/>
                        </w:rPr>
                        <w:t>ё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нных </w:t>
                      </w:r>
                      <w:r>
                        <w:rPr>
                          <w:rFonts w:ascii="PT Astra Serif" w:hAnsi="PT Astra Serif"/>
                        </w:rPr>
                        <w:t>в текущем году (как через уполномоченный орган, так</w:t>
                      </w:r>
                      <w:r w:rsidR="0036510E">
                        <w:rPr>
                          <w:rFonts w:ascii="PT Astra Serif" w:hAnsi="PT Astra Serif"/>
                        </w:rPr>
                        <w:t xml:space="preserve"> и самостоятельно заказчиками)</w:t>
                      </w:r>
                    </w:p>
                  </w:txbxContent>
                </v:textbox>
              </v:shape>
            </w:pict>
          </mc:Fallback>
        </mc:AlternateContent>
      </w:r>
    </w:p>
    <w:p w:rsidR="00B52CCB" w:rsidRPr="00CD6F80" w:rsidRDefault="00B52CCB" w:rsidP="007F76E0">
      <w:pPr>
        <w:rPr>
          <w:noProof/>
          <w:lang w:val="en-US" w:eastAsia="ru-RU"/>
        </w:rPr>
      </w:pPr>
    </w:p>
    <w:p w:rsidR="00A44077" w:rsidRDefault="00A44077" w:rsidP="00111E7E">
      <w:pPr>
        <w:tabs>
          <w:tab w:val="left" w:pos="2160"/>
        </w:tabs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7603"/>
      </w:tblGrid>
      <w:tr w:rsidR="00A44077" w:rsidTr="00101043">
        <w:trPr>
          <w:trHeight w:val="474"/>
        </w:trPr>
        <w:tc>
          <w:tcPr>
            <w:tcW w:w="15383" w:type="dxa"/>
            <w:gridSpan w:val="2"/>
          </w:tcPr>
          <w:p w:rsidR="00A44077" w:rsidRPr="00821AAE" w:rsidRDefault="00A44077" w:rsidP="00CA3F3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lastRenderedPageBreak/>
              <w:t xml:space="preserve">Информация о </w:t>
            </w:r>
            <w:r w:rsidR="00CA3F3B"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е несостоявшихся процедур*, проведённых через Уполномоченный орган</w:t>
            </w:r>
          </w:p>
        </w:tc>
      </w:tr>
      <w:tr w:rsidR="00A44077" w:rsidTr="00364641">
        <w:tc>
          <w:tcPr>
            <w:tcW w:w="7780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4</w:t>
            </w:r>
          </w:p>
        </w:tc>
        <w:tc>
          <w:tcPr>
            <w:tcW w:w="7603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5</w:t>
            </w:r>
          </w:p>
        </w:tc>
      </w:tr>
      <w:tr w:rsidR="00A44077" w:rsidTr="001A3FA6">
        <w:trPr>
          <w:trHeight w:val="7133"/>
        </w:trPr>
        <w:tc>
          <w:tcPr>
            <w:tcW w:w="7780" w:type="dxa"/>
          </w:tcPr>
          <w:p w:rsidR="00A44077" w:rsidRDefault="00D16D5A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68951" wp14:editId="76EEB620">
                  <wp:extent cx="4610100" cy="412432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A44077" w:rsidRDefault="001A3FA6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8F58FC" wp14:editId="16C3EEFA">
                  <wp:extent cx="4333875" cy="42291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01043" w:rsidTr="00101043">
        <w:trPr>
          <w:trHeight w:val="303"/>
        </w:trPr>
        <w:tc>
          <w:tcPr>
            <w:tcW w:w="15383" w:type="dxa"/>
            <w:gridSpan w:val="2"/>
          </w:tcPr>
          <w:p w:rsidR="008B16B0" w:rsidRDefault="008B16B0" w:rsidP="00193983">
            <w:pPr>
              <w:rPr>
                <w:rFonts w:ascii="PT Astra Serif" w:hAnsi="PT Astra Serif"/>
              </w:rPr>
            </w:pPr>
          </w:p>
          <w:p w:rsidR="00101043" w:rsidRPr="00101043" w:rsidRDefault="00101043" w:rsidP="00193983">
            <w:pPr>
              <w:rPr>
                <w:rFonts w:ascii="PT Astra Serif" w:hAnsi="PT Astra Serif"/>
              </w:rPr>
            </w:pPr>
            <w:r w:rsidRPr="00EA0670">
              <w:rPr>
                <w:rFonts w:ascii="PT Astra Serif" w:hAnsi="PT Astra Serif"/>
              </w:rPr>
              <w:t xml:space="preserve">* учитываются </w:t>
            </w:r>
            <w:r w:rsidRPr="00EA0670">
              <w:rPr>
                <w:rFonts w:ascii="PT Astra Serif" w:hAnsi="PT Astra Serif"/>
                <w:lang w:eastAsia="ru-RU"/>
              </w:rPr>
              <w:t xml:space="preserve">процедуры, по которым в итоговом протоколе </w:t>
            </w:r>
            <w:r>
              <w:rPr>
                <w:rFonts w:ascii="PT Astra Serif" w:hAnsi="PT Astra Serif"/>
                <w:lang w:eastAsia="ru-RU"/>
              </w:rPr>
              <w:t>(в январ</w:t>
            </w:r>
            <w:proofErr w:type="gramStart"/>
            <w:r>
              <w:rPr>
                <w:rFonts w:ascii="PT Astra Serif" w:hAnsi="PT Astra Serif"/>
                <w:lang w:eastAsia="ru-RU"/>
              </w:rPr>
              <w:t>е</w:t>
            </w:r>
            <w:r w:rsidR="0036510E">
              <w:rPr>
                <w:rFonts w:ascii="PT Astra Serif" w:hAnsi="PT Astra Serif"/>
                <w:lang w:eastAsia="ru-RU"/>
              </w:rPr>
              <w:t>-</w:t>
            </w:r>
            <w:proofErr w:type="gramEnd"/>
            <w:r w:rsidR="0036510E">
              <w:rPr>
                <w:rFonts w:ascii="PT Astra Serif" w:hAnsi="PT Astra Serif"/>
                <w:lang w:eastAsia="ru-RU"/>
              </w:rPr>
              <w:t xml:space="preserve"> феврале</w:t>
            </w:r>
            <w:r w:rsidRPr="002D3638">
              <w:rPr>
                <w:rFonts w:ascii="PT Astra Serif" w:hAnsi="PT Astra Serif"/>
                <w:lang w:eastAsia="ru-RU"/>
              </w:rPr>
              <w:t xml:space="preserve"> 202</w:t>
            </w:r>
            <w:r w:rsidR="00193983">
              <w:rPr>
                <w:rFonts w:ascii="PT Astra Serif" w:hAnsi="PT Astra Serif"/>
                <w:lang w:eastAsia="ru-RU"/>
              </w:rPr>
              <w:t>3</w:t>
            </w:r>
            <w:r w:rsidRPr="002D3638">
              <w:rPr>
                <w:rFonts w:ascii="PT Astra Serif" w:hAnsi="PT Astra Serif"/>
                <w:lang w:eastAsia="ru-RU"/>
              </w:rPr>
              <w:t xml:space="preserve"> года</w:t>
            </w:r>
            <w:r>
              <w:rPr>
                <w:rFonts w:ascii="PT Astra Serif" w:hAnsi="PT Astra Serif"/>
                <w:lang w:eastAsia="ru-RU"/>
              </w:rPr>
              <w:t xml:space="preserve">) </w:t>
            </w:r>
            <w:r w:rsidRPr="00EA0670">
              <w:rPr>
                <w:rFonts w:ascii="PT Astra Serif" w:hAnsi="PT Astra Serif"/>
                <w:lang w:eastAsia="ru-RU"/>
              </w:rPr>
              <w:t>остались 0 или 1 заявка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611"/>
      </w:tblGrid>
      <w:tr w:rsidR="00A44077" w:rsidTr="003D5EFB">
        <w:trPr>
          <w:trHeight w:val="716"/>
        </w:trPr>
        <w:tc>
          <w:tcPr>
            <w:tcW w:w="15327" w:type="dxa"/>
            <w:gridSpan w:val="2"/>
            <w:shd w:val="clear" w:color="auto" w:fill="auto"/>
          </w:tcPr>
          <w:p w:rsidR="00A44077" w:rsidRPr="00F02A85" w:rsidRDefault="00A44077" w:rsidP="00A440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lastRenderedPageBreak/>
              <w:t xml:space="preserve">Информация о </w:t>
            </w:r>
            <w:r w:rsidR="00CA3F3B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е несостоявшихся процедур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*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проведённых самостоятельно заказчиками </w:t>
            </w:r>
          </w:p>
          <w:p w:rsidR="00A44077" w:rsidRPr="003B2E21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4077" w:rsidTr="003D5EFB">
        <w:trPr>
          <w:trHeight w:val="716"/>
        </w:trPr>
        <w:tc>
          <w:tcPr>
            <w:tcW w:w="7716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6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7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</w:tr>
      <w:tr w:rsidR="00CD6F80" w:rsidTr="003D5EFB">
        <w:trPr>
          <w:trHeight w:val="6505"/>
        </w:trPr>
        <w:tc>
          <w:tcPr>
            <w:tcW w:w="7716" w:type="dxa"/>
            <w:shd w:val="clear" w:color="auto" w:fill="auto"/>
          </w:tcPr>
          <w:p w:rsidR="00CD6F80" w:rsidRDefault="00BC6CD0" w:rsidP="00BC6CD0">
            <w:r>
              <w:rPr>
                <w:noProof/>
                <w:lang w:eastAsia="ru-RU"/>
              </w:rPr>
              <w:t xml:space="preserve"> </w:t>
            </w:r>
            <w:r w:rsidR="003D5EFB">
              <w:rPr>
                <w:noProof/>
                <w:lang w:eastAsia="ru-RU"/>
              </w:rPr>
              <w:drawing>
                <wp:inline distT="0" distB="0" distL="0" distR="0" wp14:anchorId="7CDB970B" wp14:editId="0F3E8BEB">
                  <wp:extent cx="4505325" cy="38100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611" w:type="dxa"/>
            <w:shd w:val="clear" w:color="auto" w:fill="auto"/>
          </w:tcPr>
          <w:p w:rsidR="00CD6F80" w:rsidRDefault="003D5EFB" w:rsidP="002A0AAE">
            <w:r>
              <w:rPr>
                <w:noProof/>
                <w:lang w:eastAsia="ru-RU"/>
              </w:rPr>
              <w:drawing>
                <wp:inline distT="0" distB="0" distL="0" distR="0" wp14:anchorId="4B6E7062" wp14:editId="5F38FA6F">
                  <wp:extent cx="4362450" cy="381000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ED3AB7" w:rsidRDefault="008E1C24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259715</wp:posOffset>
                </wp:positionV>
                <wp:extent cx="8562975" cy="304800"/>
                <wp:effectExtent l="0" t="0" r="9525" b="0"/>
                <wp:wrapNone/>
                <wp:docPr id="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EA0670" w:rsidRDefault="003247AE" w:rsidP="00EA0670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EA0670">
                              <w:rPr>
                                <w:rFonts w:ascii="PT Astra Serif" w:hAnsi="PT Astra Serif"/>
                              </w:rPr>
                              <w:t xml:space="preserve">* учитываются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процедуры, по которым в итоговом протоколе 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>(в январе</w:t>
                            </w:r>
                            <w:r w:rsidR="0036510E">
                              <w:rPr>
                                <w:rFonts w:ascii="PT Astra Serif" w:hAnsi="PT Astra Serif"/>
                                <w:lang w:eastAsia="ru-RU"/>
                              </w:rPr>
                              <w:t>-феврале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>3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года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)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остались 0 или 1 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9" o:spid="_x0000_s1030" style="position:absolute;margin-left:-.2pt;margin-top:20.45pt;width:674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JnhgIAAA8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" stroked="f">
                <v:textbox>
                  <w:txbxContent>
                    <w:p w:rsidR="003247AE" w:rsidRPr="00EA0670" w:rsidRDefault="003247AE" w:rsidP="00EA0670">
                      <w:pPr>
                        <w:rPr>
                          <w:rFonts w:ascii="PT Astra Serif" w:hAnsi="PT Astra Serif"/>
                        </w:rPr>
                      </w:pPr>
                      <w:r w:rsidRPr="00EA0670">
                        <w:rPr>
                          <w:rFonts w:ascii="PT Astra Serif" w:hAnsi="PT Astra Serif"/>
                        </w:rPr>
                        <w:t xml:space="preserve">* учитываются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 xml:space="preserve">процедуры, по которым в итоговом протоколе 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>(в январе</w:t>
                      </w:r>
                      <w:r w:rsidR="0036510E">
                        <w:rPr>
                          <w:rFonts w:ascii="PT Astra Serif" w:hAnsi="PT Astra Serif"/>
                          <w:lang w:eastAsia="ru-RU"/>
                        </w:rPr>
                        <w:t>-феврале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>3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 xml:space="preserve"> года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)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>остались 0 или 1 заявка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63609" w:rsidRDefault="00F6050D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610870</wp:posOffset>
                </wp:positionV>
                <wp:extent cx="457200" cy="1628775"/>
                <wp:effectExtent l="0" t="0" r="0" b="952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F1190" id="Rectangle 101" o:spid="_x0000_s1026" style="position:absolute;margin-left:6.55pt;margin-top:48.1pt;width:36pt;height:1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/5ewIAAP4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961390</wp:posOffset>
                </wp:positionV>
                <wp:extent cx="561975" cy="45720"/>
                <wp:effectExtent l="0" t="0" r="28575" b="1143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AE" w:rsidRPr="000910AA" w:rsidRDefault="003247AE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31" type="#_x0000_t202" style="position:absolute;margin-left:251.8pt;margin-top:75.7pt;width:44.2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" strokecolor="white">
                <v:textbox>
                  <w:txbxContent>
                    <w:p w:rsidR="003247AE" w:rsidRPr="000910AA" w:rsidRDefault="003247AE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-370205</wp:posOffset>
                </wp:positionV>
                <wp:extent cx="1199515" cy="320675"/>
                <wp:effectExtent l="0" t="0" r="635" b="31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9C1908" w:rsidRDefault="003247AE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537236">
                              <w:rPr>
                                <w:rFonts w:ascii="PT Astra Serif" w:hAnsi="PT Astra Serif"/>
                                <w:sz w:val="28"/>
                              </w:rPr>
                              <w:t>Диаграмма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32" type="#_x0000_t202" style="position:absolute;margin-left:657.6pt;margin-top:-29.15pt;width:94.4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CMhgIAABg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" stroked="f">
                <v:textbox>
                  <w:txbxContent>
                    <w:p w:rsidR="003247AE" w:rsidRPr="009C1908" w:rsidRDefault="003247AE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537236">
                        <w:rPr>
                          <w:rFonts w:ascii="PT Astra Serif" w:hAnsi="PT Astra Serif"/>
                          <w:sz w:val="28"/>
                        </w:rPr>
                        <w:t>Диаграмма 8</w:t>
                      </w:r>
                    </w:p>
                  </w:txbxContent>
                </v:textbox>
              </v:shape>
            </w:pict>
          </mc:Fallback>
        </mc:AlternateContent>
      </w:r>
      <w:r w:rsidR="003D5EFB">
        <w:rPr>
          <w:noProof/>
          <w:lang w:eastAsia="ru-RU"/>
        </w:rPr>
        <w:drawing>
          <wp:inline distT="0" distB="0" distL="0" distR="0" wp14:anchorId="29155C48" wp14:editId="2DBF24FC">
            <wp:extent cx="9552940" cy="5734050"/>
            <wp:effectExtent l="0" t="0" r="1016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EF30B1" w:rsidRDefault="00EF30B1" w:rsidP="00A260D4">
      <w:pPr>
        <w:tabs>
          <w:tab w:val="left" w:pos="1875"/>
        </w:tabs>
        <w:rPr>
          <w:noProof/>
          <w:lang w:val="en-US" w:eastAsia="ru-RU"/>
        </w:rPr>
      </w:pPr>
    </w:p>
    <w:p w:rsidR="00B94B02" w:rsidRPr="00B94B02" w:rsidRDefault="00525253" w:rsidP="00A260D4">
      <w:pPr>
        <w:tabs>
          <w:tab w:val="left" w:pos="1875"/>
        </w:tabs>
        <w:rPr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-389890</wp:posOffset>
                </wp:positionV>
                <wp:extent cx="1743075" cy="28575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7F76E0" w:rsidRDefault="003247AE" w:rsidP="00727248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757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33" type="#_x0000_t202" style="position:absolute;margin-left:592.8pt;margin-top:-30.7pt;width:137.25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/suQ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" filled="f" stroked="f">
                <v:textbox>
                  <w:txbxContent>
                    <w:p w:rsidR="003247AE" w:rsidRPr="007F76E0" w:rsidRDefault="003247AE" w:rsidP="00727248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757C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9</w:t>
                      </w:r>
                    </w:p>
                  </w:txbxContent>
                </v:textbox>
              </v:shape>
            </w:pict>
          </mc:Fallback>
        </mc:AlternateContent>
      </w:r>
      <w:r w:rsidR="003D5EFB">
        <w:rPr>
          <w:noProof/>
          <w:lang w:eastAsia="ru-RU"/>
        </w:rPr>
        <w:drawing>
          <wp:inline distT="0" distB="0" distL="0" distR="0" wp14:anchorId="2E7E61EB" wp14:editId="66BE4422">
            <wp:extent cx="9277350" cy="46767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30B1" w:rsidRDefault="00F6050D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9716770" cy="504825"/>
                <wp:effectExtent l="0" t="0" r="0" b="952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AE" w:rsidRPr="008B53EE" w:rsidRDefault="003247AE" w:rsidP="00727248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 у СМП,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в текущем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34" type="#_x0000_t202" style="position:absolute;margin-left:-7.65pt;margin-top:1.65pt;width:765.1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" stroked="f">
                <v:textbox>
                  <w:txbxContent>
                    <w:p w:rsidR="003247AE" w:rsidRPr="008B53EE" w:rsidRDefault="003247AE" w:rsidP="00727248">
                      <w:pPr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 у СМП, провед</w:t>
                      </w:r>
                      <w:r>
                        <w:rPr>
                          <w:rFonts w:ascii="PT Astra Serif" w:hAnsi="PT Astra Serif"/>
                        </w:rPr>
                        <w:t>ё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нных </w:t>
                      </w:r>
                      <w:r>
                        <w:rPr>
                          <w:rFonts w:ascii="PT Astra Serif" w:hAnsi="PT Astra Serif"/>
                        </w:rPr>
                        <w:t>в текущем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727248" w:rsidRPr="00727248" w:rsidRDefault="00727248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lastRenderedPageBreak/>
        <w:t>Информация об объявленных в 202</w:t>
      </w:r>
      <w:r w:rsidR="008B16B0" w:rsidRPr="008B16B0">
        <w:rPr>
          <w:rFonts w:ascii="PT Astra Serif" w:hAnsi="PT Astra Serif"/>
          <w:b/>
          <w:sz w:val="28"/>
          <w:szCs w:val="28"/>
        </w:rPr>
        <w:t>3</w:t>
      </w:r>
      <w:r w:rsidRPr="00CB122A">
        <w:rPr>
          <w:rFonts w:ascii="PT Astra Serif" w:hAnsi="PT Astra Serif"/>
          <w:b/>
          <w:sz w:val="28"/>
          <w:szCs w:val="28"/>
        </w:rPr>
        <w:t xml:space="preserve"> году конкурентных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433442" w:rsidRPr="00CB122A" w:rsidRDefault="002D3638" w:rsidP="00CB12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B122A">
        <w:rPr>
          <w:rFonts w:ascii="PT Astra Serif" w:hAnsi="PT Astra Serif"/>
          <w:sz w:val="28"/>
          <w:szCs w:val="28"/>
        </w:rPr>
        <w:t>Таблица 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509"/>
        <w:gridCol w:w="1262"/>
        <w:gridCol w:w="1148"/>
        <w:gridCol w:w="1276"/>
        <w:gridCol w:w="992"/>
        <w:gridCol w:w="1134"/>
        <w:gridCol w:w="993"/>
        <w:gridCol w:w="1275"/>
        <w:gridCol w:w="992"/>
      </w:tblGrid>
      <w:tr w:rsidR="003D5EFB" w:rsidRPr="003D5EFB" w:rsidTr="007F48A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количество, 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Уполномоченный орган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самостоятельно государственными заказчиками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закупки с запретами, ограничениями, условиями допуска по ст. 14</w:t>
            </w: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2 334 203,44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2 239 165,08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95 038,37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977 863,26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861</w:t>
            </w:r>
          </w:p>
        </w:tc>
      </w:tr>
      <w:tr w:rsidR="003D5EFB" w:rsidRPr="003D5EFB" w:rsidTr="007F48A6">
        <w:trPr>
          <w:trHeight w:val="3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933 331,08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886 714,20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46 616,88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726 740,74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571</w:t>
            </w:r>
          </w:p>
        </w:tc>
      </w:tr>
      <w:tr w:rsidR="003D5EFB" w:rsidRPr="003D5EFB" w:rsidTr="007F48A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223 180,18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190 626,00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32 554,18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181 111,52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3D5EFB" w:rsidRPr="003D5EFB" w:rsidTr="007F48A6">
        <w:trPr>
          <w:trHeight w:val="3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финансов Ульяновской области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278 147,37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278 147,37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3 028,35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транспорта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592 038,21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592 038,21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жилищно-коммунального хозяйства и </w:t>
            </w:r>
            <w:r w:rsidR="007F48A6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троительства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155 244,52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155 211,88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23 890,79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13 160,72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13 160,72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8 046,51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1 038,54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1 965,89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D5EFB" w:rsidRPr="003D5EFB" w:rsidTr="007F48A6">
        <w:trPr>
          <w:trHeight w:val="3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11 507,38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10 647,78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D5EFB" w:rsidRPr="003D5EFB" w:rsidTr="007F48A6">
        <w:trPr>
          <w:trHeight w:val="3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38 875,45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30 299,91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8 575,54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3D5EFB" w:rsidRPr="003D5EFB" w:rsidTr="007F48A6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381,93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1 047,10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D5EFB" w:rsidRPr="003D5EFB" w:rsidTr="007F48A6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молодежного развития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Правительство Ульяновской области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33 361,13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29 500,97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3 860,16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10 902,77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Счетная палата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7F48A6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Законодательное с</w:t>
            </w:r>
            <w:r w:rsidR="003D5EFB"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обрание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6 785,63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6 785,63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31 506,90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30 874,47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4 131,31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5 077,09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D5EFB" w:rsidRPr="003D5EFB" w:rsidTr="007F48A6">
        <w:trPr>
          <w:trHeight w:val="3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1 198,70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EFB" w:rsidRPr="003D5EFB" w:rsidTr="007F48A6">
        <w:trPr>
          <w:trHeight w:val="3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5EFB" w:rsidRPr="003D5EFB" w:rsidTr="007F48A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7F48A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1 313,56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FB" w:rsidRPr="003D5EFB" w:rsidRDefault="003D5EFB" w:rsidP="003D5E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3D5EFB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B1D4E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* </w:t>
      </w: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</w:t>
      </w:r>
      <w:r w:rsidR="00E93D45">
        <w:rPr>
          <w:rFonts w:ascii="PT Astra Serif" w:hAnsi="PT Astra Serif"/>
          <w:i/>
          <w:noProof/>
          <w:sz w:val="20"/>
          <w:szCs w:val="20"/>
          <w:lang w:eastAsia="ru-RU"/>
        </w:rPr>
        <w:t>3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:rsidR="002B1D4E" w:rsidRDefault="002B1D4E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8E479D" w:rsidRDefault="008E479D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EF30B1" w:rsidRPr="008B16B0" w:rsidRDefault="00AB7B14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>Диаграмма 10</w:t>
      </w:r>
      <w:r w:rsidR="007B7B7F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 xml:space="preserve"> Д</w:t>
      </w:r>
      <w:r w:rsidR="00BB0AEC">
        <w:rPr>
          <w:rFonts w:ascii="PT Astra Serif" w:hAnsi="PT Astra Serif"/>
          <w:noProof/>
          <w:sz w:val="28"/>
          <w:szCs w:val="28"/>
          <w:lang w:eastAsia="ru-RU"/>
        </w:rPr>
        <w:t>иаграмма 11</w:t>
      </w:r>
    </w:p>
    <w:p w:rsidR="00CC0A0F" w:rsidRPr="00CC0A0F" w:rsidRDefault="007B7B7F" w:rsidP="00BB0AEC">
      <w:pPr>
        <w:rPr>
          <w:noProof/>
          <w:lang w:eastAsia="ru-RU"/>
        </w:rPr>
        <w:sectPr w:rsidR="00CC0A0F" w:rsidRPr="00CC0A0F" w:rsidSect="00A4749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C77D2DC" wp14:editId="7BE1347C">
            <wp:extent cx="430530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B0AEC" w:rsidRPr="008B16B0">
        <w:rPr>
          <w:noProof/>
          <w:lang w:eastAsia="ru-RU"/>
        </w:rPr>
        <w:t xml:space="preserve">   </w:t>
      </w:r>
      <w:r w:rsidR="00924478" w:rsidRPr="00924478">
        <w:rPr>
          <w:noProof/>
          <w:lang w:eastAsia="ru-RU"/>
        </w:rPr>
        <w:t xml:space="preserve"> </w:t>
      </w:r>
      <w:r w:rsidR="003D5EFB">
        <w:rPr>
          <w:noProof/>
          <w:lang w:eastAsia="ru-RU"/>
        </w:rPr>
        <w:drawing>
          <wp:inline distT="0" distB="0" distL="0" distR="0" wp14:anchorId="09DEC2F9" wp14:editId="5C9A83BC">
            <wp:extent cx="4305300" cy="29527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7B14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lastRenderedPageBreak/>
        <w:t xml:space="preserve">Информация об </w:t>
      </w:r>
      <w:proofErr w:type="gramStart"/>
      <w:r w:rsidRPr="00CB122A">
        <w:rPr>
          <w:rFonts w:ascii="PT Astra Serif" w:hAnsi="PT Astra Serif"/>
          <w:b/>
          <w:sz w:val="28"/>
          <w:szCs w:val="28"/>
        </w:rPr>
        <w:t>объявленных</w:t>
      </w:r>
      <w:proofErr w:type="gramEnd"/>
      <w:r w:rsidRPr="00CB122A">
        <w:rPr>
          <w:rFonts w:ascii="PT Astra Serif" w:hAnsi="PT Astra Serif"/>
          <w:b/>
          <w:sz w:val="28"/>
          <w:szCs w:val="28"/>
        </w:rPr>
        <w:t xml:space="preserve"> в 202</w:t>
      </w:r>
      <w:r w:rsidR="008B16B0" w:rsidRPr="008B16B0">
        <w:rPr>
          <w:rFonts w:ascii="PT Astra Serif" w:hAnsi="PT Astra Serif"/>
          <w:b/>
          <w:sz w:val="28"/>
          <w:szCs w:val="28"/>
        </w:rPr>
        <w:t>3</w:t>
      </w:r>
      <w:r w:rsidRPr="00CB122A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конкурентных </w:t>
      </w:r>
      <w:r>
        <w:rPr>
          <w:rFonts w:ascii="PT Astra Serif" w:hAnsi="PT Astra Serif"/>
          <w:b/>
          <w:sz w:val="28"/>
          <w:szCs w:val="28"/>
        </w:rPr>
        <w:t xml:space="preserve">муниципальных </w:t>
      </w:r>
      <w:proofErr w:type="gramStart"/>
      <w:r w:rsidRPr="00CB122A">
        <w:rPr>
          <w:rFonts w:ascii="PT Astra Serif" w:hAnsi="PT Astra Serif"/>
          <w:b/>
          <w:sz w:val="28"/>
          <w:szCs w:val="28"/>
        </w:rPr>
        <w:t>закупках</w:t>
      </w:r>
      <w:proofErr w:type="gramEnd"/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CB122A" w:rsidRPr="00712796" w:rsidRDefault="00CB122A" w:rsidP="00CB122A">
      <w:pPr>
        <w:jc w:val="right"/>
        <w:rPr>
          <w:noProof/>
          <w:lang w:eastAsia="ru-RU"/>
        </w:rPr>
      </w:pPr>
      <w:r w:rsidRPr="00712796">
        <w:rPr>
          <w:rFonts w:ascii="PT Astra Serif" w:hAnsi="PT Astra Serif"/>
          <w:sz w:val="28"/>
          <w:szCs w:val="28"/>
        </w:rPr>
        <w:t>Таблица 2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 w:rsidR="009A4352" w:rsidRPr="009A4352" w:rsidTr="009A4352">
        <w:trPr>
          <w:trHeight w:val="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352" w:rsidRPr="009A4352" w:rsidRDefault="00C902B6" w:rsidP="00C902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 м</w:t>
            </w:r>
            <w:r w:rsidR="00CD00B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ого</w:t>
            </w:r>
            <w:r w:rsidR="00CD00B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A4352" w:rsidRPr="009A4352" w:rsidTr="009A4352">
        <w:trPr>
          <w:trHeight w:val="3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нмцк</w:t>
            </w:r>
            <w:proofErr w:type="spellEnd"/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кол-во, 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шт.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1 902 101,01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371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120 051,65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9 521,32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54 307,02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8 362,20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Николаевский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21 024,89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257 827,52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30 319,38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</w:t>
            </w:r>
          </w:p>
        </w:tc>
      </w:tr>
      <w:tr w:rsidR="003D5EFB" w:rsidRPr="009A4352" w:rsidTr="009A4352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Сурский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85 761,14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</w:t>
            </w:r>
          </w:p>
        </w:tc>
      </w:tr>
      <w:tr w:rsidR="003D5EFB" w:rsidRPr="009A4352" w:rsidTr="009A4352">
        <w:trPr>
          <w:trHeight w:val="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48 198,25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</w:t>
            </w:r>
          </w:p>
        </w:tc>
      </w:tr>
      <w:tr w:rsidR="003D5EFB" w:rsidRPr="009A4352" w:rsidTr="009A4352">
        <w:trPr>
          <w:trHeight w:val="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200 635,60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Димитровград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138 135,28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Новоульяновск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3 517,76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</w:t>
            </w:r>
          </w:p>
        </w:tc>
      </w:tr>
      <w:tr w:rsidR="003D5EFB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Pr="009A4352" w:rsidRDefault="003D5EFB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Ульяновск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883 755,67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FB" w:rsidRDefault="003D5EF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153</w:t>
            </w:r>
          </w:p>
        </w:tc>
      </w:tr>
    </w:tbl>
    <w:p w:rsidR="00EF2A68" w:rsidRDefault="002B1D4E" w:rsidP="00C902B6">
      <w:pPr>
        <w:spacing w:after="0"/>
        <w:ind w:hanging="709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b/>
          <w:noProof/>
          <w:sz w:val="16"/>
          <w:szCs w:val="16"/>
          <w:lang w:eastAsia="ru-RU"/>
        </w:rPr>
        <w:t xml:space="preserve">* 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</w:t>
      </w:r>
      <w:r w:rsidR="00E93D45">
        <w:rPr>
          <w:rFonts w:ascii="PT Astra Serif" w:hAnsi="PT Astra Serif"/>
          <w:i/>
          <w:noProof/>
          <w:sz w:val="20"/>
          <w:szCs w:val="20"/>
          <w:lang w:eastAsia="ru-RU"/>
        </w:rPr>
        <w:t>3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:rsidR="002B1D4E" w:rsidRDefault="002B1D4E" w:rsidP="00C902B6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  </w:t>
      </w:r>
      <w:r w:rsidRPr="00835732">
        <w:rPr>
          <w:rFonts w:ascii="PT Astra Serif" w:hAnsi="PT Astra Serif"/>
          <w:i/>
          <w:noProof/>
          <w:sz w:val="20"/>
          <w:szCs w:val="20"/>
          <w:lang w:eastAsia="ru-RU"/>
        </w:rPr>
        <w:t>на основании представленных муниицпальными образованиями данных</w:t>
      </w:r>
    </w:p>
    <w:tbl>
      <w:tblPr>
        <w:tblStyle w:val="a4"/>
        <w:tblW w:w="99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701"/>
      </w:tblGrid>
      <w:tr w:rsidR="00EF2A68" w:rsidTr="00CA400A">
        <w:tc>
          <w:tcPr>
            <w:tcW w:w="9927" w:type="dxa"/>
            <w:gridSpan w:val="2"/>
          </w:tcPr>
          <w:p w:rsidR="00EF2A68" w:rsidRPr="00EF2A68" w:rsidRDefault="00EF2A68" w:rsidP="00CB4EBA">
            <w:pPr>
              <w:pStyle w:val="af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Структура </w:t>
            </w:r>
            <w:r w:rsidR="002B1D4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объявленных </w:t>
            </w: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>закупок Ульяновской области</w:t>
            </w:r>
          </w:p>
        </w:tc>
      </w:tr>
      <w:tr w:rsidR="00EF2A68" w:rsidTr="00CA400A">
        <w:trPr>
          <w:trHeight w:val="355"/>
        </w:trPr>
        <w:tc>
          <w:tcPr>
            <w:tcW w:w="5226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12</w:t>
            </w:r>
          </w:p>
        </w:tc>
        <w:tc>
          <w:tcPr>
            <w:tcW w:w="4701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13</w:t>
            </w:r>
          </w:p>
        </w:tc>
      </w:tr>
      <w:tr w:rsidR="00EF2A68" w:rsidTr="00CA400A">
        <w:trPr>
          <w:trHeight w:val="4242"/>
        </w:trPr>
        <w:tc>
          <w:tcPr>
            <w:tcW w:w="5226" w:type="dxa"/>
          </w:tcPr>
          <w:p w:rsidR="00EF2A68" w:rsidRDefault="00CA400A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C8835" wp14:editId="30F250C4">
                  <wp:extent cx="3162300" cy="2733675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EF2A68" w:rsidRDefault="00CA400A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113E40" wp14:editId="3F8E0F4B">
                  <wp:extent cx="2838450" cy="2733675"/>
                  <wp:effectExtent l="0" t="0" r="0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955F26" w:rsidRDefault="00955F26" w:rsidP="00A64391">
      <w:pPr>
        <w:rPr>
          <w:noProof/>
          <w:lang w:eastAsia="ru-RU"/>
        </w:rPr>
        <w:sectPr w:rsidR="00955F26" w:rsidSect="00683E1A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403A6" w:rsidRPr="00806335" w:rsidRDefault="00C403A6" w:rsidP="00E93D45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403A6" w:rsidRPr="00806335" w:rsidSect="00801428">
      <w:headerReference w:type="default" r:id="rId2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AE" w:rsidRDefault="003247AE" w:rsidP="008952FF">
      <w:pPr>
        <w:spacing w:after="0" w:line="240" w:lineRule="auto"/>
      </w:pPr>
      <w:r>
        <w:separator/>
      </w:r>
    </w:p>
  </w:endnote>
  <w:endnote w:type="continuationSeparator" w:id="0">
    <w:p w:rsidR="003247AE" w:rsidRDefault="003247AE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AE" w:rsidRDefault="003247AE" w:rsidP="008952FF">
      <w:pPr>
        <w:spacing w:after="0" w:line="240" w:lineRule="auto"/>
      </w:pPr>
      <w:r>
        <w:separator/>
      </w:r>
    </w:p>
  </w:footnote>
  <w:footnote w:type="continuationSeparator" w:id="0">
    <w:p w:rsidR="003247AE" w:rsidRDefault="003247AE" w:rsidP="008952FF">
      <w:pPr>
        <w:spacing w:after="0" w:line="240" w:lineRule="auto"/>
      </w:pPr>
      <w:r>
        <w:continuationSeparator/>
      </w:r>
    </w:p>
  </w:footnote>
  <w:footnote w:id="1">
    <w:p w:rsidR="003247AE" w:rsidRPr="003A235D" w:rsidRDefault="003247AE">
      <w:pPr>
        <w:pStyle w:val="af1"/>
        <w:rPr>
          <w:rFonts w:ascii="PT Astra Serif" w:hAnsi="PT Astra Serif"/>
          <w:color w:val="000000"/>
        </w:rPr>
      </w:pPr>
      <w:r>
        <w:rPr>
          <w:rStyle w:val="af3"/>
        </w:rPr>
        <w:footnoteRef/>
      </w:r>
      <w:r>
        <w:t xml:space="preserve"> </w:t>
      </w:r>
      <w:r>
        <w:rPr>
          <w:rFonts w:ascii="PT Astra Serif" w:hAnsi="PT Astra Serif"/>
          <w:color w:val="000000"/>
        </w:rPr>
        <w:t>с</w:t>
      </w:r>
      <w:r w:rsidRPr="003A235D">
        <w:rPr>
          <w:rFonts w:ascii="PT Astra Serif" w:hAnsi="PT Astra Serif"/>
          <w:color w:val="000000"/>
        </w:rPr>
        <w:t xml:space="preserve"> учётом обращений, поступивших в 2022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AE" w:rsidRPr="00F64629" w:rsidRDefault="003247AE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CC795E">
      <w:rPr>
        <w:rFonts w:ascii="Times New Roman" w:hAnsi="Times New Roman"/>
        <w:noProof/>
        <w:sz w:val="28"/>
        <w:szCs w:val="28"/>
      </w:rPr>
      <w:t>7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AE" w:rsidRPr="003944AB" w:rsidRDefault="003247AE">
    <w:pPr>
      <w:pStyle w:val="a8"/>
      <w:jc w:val="center"/>
      <w:rPr>
        <w:rFonts w:ascii="PT Astra Serif" w:hAnsi="PT Astra Serif"/>
        <w:sz w:val="28"/>
        <w:szCs w:val="28"/>
      </w:rPr>
    </w:pPr>
    <w:r w:rsidRPr="003944AB">
      <w:rPr>
        <w:rFonts w:ascii="PT Astra Serif" w:hAnsi="PT Astra Serif"/>
        <w:sz w:val="28"/>
        <w:szCs w:val="28"/>
      </w:rPr>
      <w:fldChar w:fldCharType="begin"/>
    </w:r>
    <w:r w:rsidRPr="003944AB">
      <w:rPr>
        <w:rFonts w:ascii="PT Astra Serif" w:hAnsi="PT Astra Serif"/>
        <w:sz w:val="28"/>
        <w:szCs w:val="28"/>
      </w:rPr>
      <w:instrText>PAGE   \* MERGEFORMAT</w:instrText>
    </w:r>
    <w:r w:rsidRPr="003944AB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16</w:t>
    </w:r>
    <w:r w:rsidRPr="003944A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12762F5"/>
    <w:multiLevelType w:val="hybridMultilevel"/>
    <w:tmpl w:val="33968C30"/>
    <w:lvl w:ilvl="0" w:tplc="3EA48A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1836"/>
    <w:multiLevelType w:val="hybridMultilevel"/>
    <w:tmpl w:val="0DA24E1A"/>
    <w:lvl w:ilvl="0" w:tplc="9EE44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610521"/>
    <w:multiLevelType w:val="hybridMultilevel"/>
    <w:tmpl w:val="4BD8EE56"/>
    <w:lvl w:ilvl="0" w:tplc="7B8C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164EE2"/>
    <w:multiLevelType w:val="hybridMultilevel"/>
    <w:tmpl w:val="47503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4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6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0CB25DF"/>
    <w:multiLevelType w:val="hybridMultilevel"/>
    <w:tmpl w:val="1182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9563AB"/>
    <w:multiLevelType w:val="hybridMultilevel"/>
    <w:tmpl w:val="EF8EB72A"/>
    <w:lvl w:ilvl="0" w:tplc="25488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11"/>
  </w:num>
  <w:num w:numId="5">
    <w:abstractNumId w:val="28"/>
  </w:num>
  <w:num w:numId="6">
    <w:abstractNumId w:val="27"/>
  </w:num>
  <w:num w:numId="7">
    <w:abstractNumId w:val="17"/>
  </w:num>
  <w:num w:numId="8">
    <w:abstractNumId w:val="7"/>
  </w:num>
  <w:num w:numId="9">
    <w:abstractNumId w:val="15"/>
  </w:num>
  <w:num w:numId="10">
    <w:abstractNumId w:val="25"/>
  </w:num>
  <w:num w:numId="11">
    <w:abstractNumId w:val="8"/>
  </w:num>
  <w:num w:numId="12">
    <w:abstractNumId w:val="6"/>
  </w:num>
  <w:num w:numId="13">
    <w:abstractNumId w:val="0"/>
  </w:num>
  <w:num w:numId="14">
    <w:abstractNumId w:val="37"/>
  </w:num>
  <w:num w:numId="15">
    <w:abstractNumId w:val="10"/>
  </w:num>
  <w:num w:numId="16">
    <w:abstractNumId w:val="34"/>
  </w:num>
  <w:num w:numId="17">
    <w:abstractNumId w:val="12"/>
  </w:num>
  <w:num w:numId="18">
    <w:abstractNumId w:val="23"/>
  </w:num>
  <w:num w:numId="19">
    <w:abstractNumId w:val="26"/>
  </w:num>
  <w:num w:numId="20">
    <w:abstractNumId w:val="5"/>
  </w:num>
  <w:num w:numId="21">
    <w:abstractNumId w:val="35"/>
  </w:num>
  <w:num w:numId="22">
    <w:abstractNumId w:val="36"/>
  </w:num>
  <w:num w:numId="23">
    <w:abstractNumId w:val="3"/>
  </w:num>
  <w:num w:numId="24">
    <w:abstractNumId w:val="31"/>
  </w:num>
  <w:num w:numId="25">
    <w:abstractNumId w:val="22"/>
  </w:num>
  <w:num w:numId="26">
    <w:abstractNumId w:val="16"/>
  </w:num>
  <w:num w:numId="27">
    <w:abstractNumId w:val="18"/>
  </w:num>
  <w:num w:numId="28">
    <w:abstractNumId w:val="21"/>
  </w:num>
  <w:num w:numId="29">
    <w:abstractNumId w:val="20"/>
  </w:num>
  <w:num w:numId="30">
    <w:abstractNumId w:val="30"/>
  </w:num>
  <w:num w:numId="31">
    <w:abstractNumId w:val="24"/>
  </w:num>
  <w:num w:numId="32">
    <w:abstractNumId w:val="1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2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A"/>
    <w:rsid w:val="000015EC"/>
    <w:rsid w:val="0001273A"/>
    <w:rsid w:val="00012BA0"/>
    <w:rsid w:val="00013CCE"/>
    <w:rsid w:val="0001481D"/>
    <w:rsid w:val="00014AA7"/>
    <w:rsid w:val="0001502B"/>
    <w:rsid w:val="000215D7"/>
    <w:rsid w:val="00021A8A"/>
    <w:rsid w:val="00022FED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37935"/>
    <w:rsid w:val="00040048"/>
    <w:rsid w:val="0004111C"/>
    <w:rsid w:val="00041A3E"/>
    <w:rsid w:val="00042309"/>
    <w:rsid w:val="00042546"/>
    <w:rsid w:val="0004367A"/>
    <w:rsid w:val="00043BFB"/>
    <w:rsid w:val="00053AE3"/>
    <w:rsid w:val="00053C9D"/>
    <w:rsid w:val="00054522"/>
    <w:rsid w:val="00055365"/>
    <w:rsid w:val="00056DCC"/>
    <w:rsid w:val="00057D6E"/>
    <w:rsid w:val="0006031E"/>
    <w:rsid w:val="000629F4"/>
    <w:rsid w:val="00062E95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0AA"/>
    <w:rsid w:val="00091D2A"/>
    <w:rsid w:val="00091DAA"/>
    <w:rsid w:val="000A314F"/>
    <w:rsid w:val="000A5818"/>
    <w:rsid w:val="000A6F49"/>
    <w:rsid w:val="000A744F"/>
    <w:rsid w:val="000A7693"/>
    <w:rsid w:val="000A7F27"/>
    <w:rsid w:val="000B0691"/>
    <w:rsid w:val="000B1479"/>
    <w:rsid w:val="000B19FE"/>
    <w:rsid w:val="000B2502"/>
    <w:rsid w:val="000B31F5"/>
    <w:rsid w:val="000B4EE7"/>
    <w:rsid w:val="000B72B6"/>
    <w:rsid w:val="000B76FC"/>
    <w:rsid w:val="000C29B3"/>
    <w:rsid w:val="000C3953"/>
    <w:rsid w:val="000C3B63"/>
    <w:rsid w:val="000C3C6A"/>
    <w:rsid w:val="000C44A0"/>
    <w:rsid w:val="000D2292"/>
    <w:rsid w:val="000D277A"/>
    <w:rsid w:val="000D40CD"/>
    <w:rsid w:val="000D7F3F"/>
    <w:rsid w:val="000E08FE"/>
    <w:rsid w:val="000E4174"/>
    <w:rsid w:val="000E6746"/>
    <w:rsid w:val="000E6E7E"/>
    <w:rsid w:val="000F0AD6"/>
    <w:rsid w:val="000F1080"/>
    <w:rsid w:val="000F2E9D"/>
    <w:rsid w:val="000F3F81"/>
    <w:rsid w:val="000F53AF"/>
    <w:rsid w:val="000F7CD3"/>
    <w:rsid w:val="00101043"/>
    <w:rsid w:val="00105AEB"/>
    <w:rsid w:val="001108A5"/>
    <w:rsid w:val="001116A7"/>
    <w:rsid w:val="00111E7E"/>
    <w:rsid w:val="001121C8"/>
    <w:rsid w:val="00112D3A"/>
    <w:rsid w:val="00115B6C"/>
    <w:rsid w:val="00117A51"/>
    <w:rsid w:val="0012146C"/>
    <w:rsid w:val="001233F1"/>
    <w:rsid w:val="00124BAA"/>
    <w:rsid w:val="0012533F"/>
    <w:rsid w:val="001263E1"/>
    <w:rsid w:val="00127C7C"/>
    <w:rsid w:val="00132FFB"/>
    <w:rsid w:val="0013416C"/>
    <w:rsid w:val="001351DA"/>
    <w:rsid w:val="00142040"/>
    <w:rsid w:val="00143D6B"/>
    <w:rsid w:val="00146FB8"/>
    <w:rsid w:val="00150F40"/>
    <w:rsid w:val="001523B8"/>
    <w:rsid w:val="0015374D"/>
    <w:rsid w:val="001619B2"/>
    <w:rsid w:val="00161EB1"/>
    <w:rsid w:val="001630B0"/>
    <w:rsid w:val="00164CF2"/>
    <w:rsid w:val="00166664"/>
    <w:rsid w:val="00171E6A"/>
    <w:rsid w:val="00171EFF"/>
    <w:rsid w:val="001723BB"/>
    <w:rsid w:val="00172CBD"/>
    <w:rsid w:val="0017734B"/>
    <w:rsid w:val="00182A9F"/>
    <w:rsid w:val="00186ED8"/>
    <w:rsid w:val="00193983"/>
    <w:rsid w:val="001A0161"/>
    <w:rsid w:val="001A3FA6"/>
    <w:rsid w:val="001A687C"/>
    <w:rsid w:val="001B7927"/>
    <w:rsid w:val="001B7D14"/>
    <w:rsid w:val="001C0A2F"/>
    <w:rsid w:val="001C0D53"/>
    <w:rsid w:val="001C2479"/>
    <w:rsid w:val="001C5E79"/>
    <w:rsid w:val="001D0C73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769"/>
    <w:rsid w:val="001F3A22"/>
    <w:rsid w:val="00202AD6"/>
    <w:rsid w:val="002043D6"/>
    <w:rsid w:val="00205165"/>
    <w:rsid w:val="00205FAD"/>
    <w:rsid w:val="00210A43"/>
    <w:rsid w:val="002114D1"/>
    <w:rsid w:val="002123AE"/>
    <w:rsid w:val="0021321C"/>
    <w:rsid w:val="002146B9"/>
    <w:rsid w:val="00214742"/>
    <w:rsid w:val="00216DD4"/>
    <w:rsid w:val="00220182"/>
    <w:rsid w:val="00222BCF"/>
    <w:rsid w:val="00224612"/>
    <w:rsid w:val="002253E4"/>
    <w:rsid w:val="002256F0"/>
    <w:rsid w:val="002257FA"/>
    <w:rsid w:val="0022583F"/>
    <w:rsid w:val="00226E74"/>
    <w:rsid w:val="0022766E"/>
    <w:rsid w:val="002324CC"/>
    <w:rsid w:val="00232C7A"/>
    <w:rsid w:val="00234F4D"/>
    <w:rsid w:val="002461E0"/>
    <w:rsid w:val="002479E9"/>
    <w:rsid w:val="00251A14"/>
    <w:rsid w:val="00257F3C"/>
    <w:rsid w:val="00262501"/>
    <w:rsid w:val="00264C27"/>
    <w:rsid w:val="00266187"/>
    <w:rsid w:val="0027101D"/>
    <w:rsid w:val="002710F6"/>
    <w:rsid w:val="002721C8"/>
    <w:rsid w:val="002723FA"/>
    <w:rsid w:val="00273B8A"/>
    <w:rsid w:val="0027715F"/>
    <w:rsid w:val="00283191"/>
    <w:rsid w:val="002834DD"/>
    <w:rsid w:val="0028362A"/>
    <w:rsid w:val="002926B0"/>
    <w:rsid w:val="002979BA"/>
    <w:rsid w:val="002A02D6"/>
    <w:rsid w:val="002A0AAE"/>
    <w:rsid w:val="002A1E86"/>
    <w:rsid w:val="002A2D36"/>
    <w:rsid w:val="002A4E4D"/>
    <w:rsid w:val="002A535E"/>
    <w:rsid w:val="002A5A84"/>
    <w:rsid w:val="002B1D4E"/>
    <w:rsid w:val="002B1E74"/>
    <w:rsid w:val="002B3B65"/>
    <w:rsid w:val="002B5673"/>
    <w:rsid w:val="002C0DB5"/>
    <w:rsid w:val="002C0F49"/>
    <w:rsid w:val="002C1357"/>
    <w:rsid w:val="002C3B2B"/>
    <w:rsid w:val="002C458E"/>
    <w:rsid w:val="002C4E3F"/>
    <w:rsid w:val="002D0AE4"/>
    <w:rsid w:val="002D3638"/>
    <w:rsid w:val="002D4E74"/>
    <w:rsid w:val="002D67F9"/>
    <w:rsid w:val="002D727A"/>
    <w:rsid w:val="002D7BBA"/>
    <w:rsid w:val="002E24A8"/>
    <w:rsid w:val="002E44B0"/>
    <w:rsid w:val="002F19A8"/>
    <w:rsid w:val="002F21D0"/>
    <w:rsid w:val="002F2C0C"/>
    <w:rsid w:val="002F3A58"/>
    <w:rsid w:val="002F5B76"/>
    <w:rsid w:val="002F65CD"/>
    <w:rsid w:val="002F7642"/>
    <w:rsid w:val="002F7ECB"/>
    <w:rsid w:val="003004FA"/>
    <w:rsid w:val="0030050B"/>
    <w:rsid w:val="00300929"/>
    <w:rsid w:val="003035FA"/>
    <w:rsid w:val="003066AD"/>
    <w:rsid w:val="00307844"/>
    <w:rsid w:val="00313804"/>
    <w:rsid w:val="00313E37"/>
    <w:rsid w:val="003149E1"/>
    <w:rsid w:val="00315E00"/>
    <w:rsid w:val="003221D2"/>
    <w:rsid w:val="003225CF"/>
    <w:rsid w:val="003247AE"/>
    <w:rsid w:val="003253BD"/>
    <w:rsid w:val="00326EF3"/>
    <w:rsid w:val="0033207F"/>
    <w:rsid w:val="003331B3"/>
    <w:rsid w:val="00335E81"/>
    <w:rsid w:val="00337F86"/>
    <w:rsid w:val="003403FA"/>
    <w:rsid w:val="00340A37"/>
    <w:rsid w:val="00340D67"/>
    <w:rsid w:val="00340F29"/>
    <w:rsid w:val="00342CE2"/>
    <w:rsid w:val="0034320A"/>
    <w:rsid w:val="00343216"/>
    <w:rsid w:val="00343BE2"/>
    <w:rsid w:val="00343FE0"/>
    <w:rsid w:val="00344DCF"/>
    <w:rsid w:val="00345257"/>
    <w:rsid w:val="00346191"/>
    <w:rsid w:val="00350184"/>
    <w:rsid w:val="0035045A"/>
    <w:rsid w:val="00351466"/>
    <w:rsid w:val="00352149"/>
    <w:rsid w:val="003542F2"/>
    <w:rsid w:val="00360169"/>
    <w:rsid w:val="00360BEB"/>
    <w:rsid w:val="003635C9"/>
    <w:rsid w:val="00364641"/>
    <w:rsid w:val="0036510E"/>
    <w:rsid w:val="00366DFF"/>
    <w:rsid w:val="0036766C"/>
    <w:rsid w:val="0036782A"/>
    <w:rsid w:val="00367934"/>
    <w:rsid w:val="00370377"/>
    <w:rsid w:val="003708AE"/>
    <w:rsid w:val="00371DB0"/>
    <w:rsid w:val="003722B8"/>
    <w:rsid w:val="00374C1C"/>
    <w:rsid w:val="00376EEE"/>
    <w:rsid w:val="0038157C"/>
    <w:rsid w:val="003860B4"/>
    <w:rsid w:val="0039282F"/>
    <w:rsid w:val="00395057"/>
    <w:rsid w:val="003971B5"/>
    <w:rsid w:val="003A235D"/>
    <w:rsid w:val="003A3F2A"/>
    <w:rsid w:val="003A7BB7"/>
    <w:rsid w:val="003B13F9"/>
    <w:rsid w:val="003B2E21"/>
    <w:rsid w:val="003B41D2"/>
    <w:rsid w:val="003B4A3A"/>
    <w:rsid w:val="003B6D48"/>
    <w:rsid w:val="003B7283"/>
    <w:rsid w:val="003C27BB"/>
    <w:rsid w:val="003C77D6"/>
    <w:rsid w:val="003D1747"/>
    <w:rsid w:val="003D5C8A"/>
    <w:rsid w:val="003D5EFB"/>
    <w:rsid w:val="003E0B6D"/>
    <w:rsid w:val="003E44A5"/>
    <w:rsid w:val="003E468B"/>
    <w:rsid w:val="003E5D0D"/>
    <w:rsid w:val="003E630B"/>
    <w:rsid w:val="003E7809"/>
    <w:rsid w:val="003E79DE"/>
    <w:rsid w:val="003E7D96"/>
    <w:rsid w:val="003F2A7F"/>
    <w:rsid w:val="003F30CD"/>
    <w:rsid w:val="003F3BFD"/>
    <w:rsid w:val="003F4107"/>
    <w:rsid w:val="004007EA"/>
    <w:rsid w:val="0040106C"/>
    <w:rsid w:val="0040164D"/>
    <w:rsid w:val="00404270"/>
    <w:rsid w:val="00404FE6"/>
    <w:rsid w:val="00407247"/>
    <w:rsid w:val="004105F7"/>
    <w:rsid w:val="00410D49"/>
    <w:rsid w:val="0041356E"/>
    <w:rsid w:val="004159E6"/>
    <w:rsid w:val="0041662D"/>
    <w:rsid w:val="004202DE"/>
    <w:rsid w:val="00421278"/>
    <w:rsid w:val="00422CFA"/>
    <w:rsid w:val="00423200"/>
    <w:rsid w:val="00423797"/>
    <w:rsid w:val="00424062"/>
    <w:rsid w:val="00430E6D"/>
    <w:rsid w:val="00431B01"/>
    <w:rsid w:val="00433037"/>
    <w:rsid w:val="00433442"/>
    <w:rsid w:val="0043570B"/>
    <w:rsid w:val="004360A8"/>
    <w:rsid w:val="00437F83"/>
    <w:rsid w:val="00441851"/>
    <w:rsid w:val="00441C62"/>
    <w:rsid w:val="00441D6C"/>
    <w:rsid w:val="00442A69"/>
    <w:rsid w:val="00443EBA"/>
    <w:rsid w:val="00452BC1"/>
    <w:rsid w:val="0046198A"/>
    <w:rsid w:val="00461B5E"/>
    <w:rsid w:val="00470468"/>
    <w:rsid w:val="00471566"/>
    <w:rsid w:val="00471F16"/>
    <w:rsid w:val="004742E6"/>
    <w:rsid w:val="004767B6"/>
    <w:rsid w:val="0048279F"/>
    <w:rsid w:val="00485C32"/>
    <w:rsid w:val="00486C83"/>
    <w:rsid w:val="00487C26"/>
    <w:rsid w:val="004922FE"/>
    <w:rsid w:val="00493915"/>
    <w:rsid w:val="004A038D"/>
    <w:rsid w:val="004A0E47"/>
    <w:rsid w:val="004A3682"/>
    <w:rsid w:val="004A3DFF"/>
    <w:rsid w:val="004A5548"/>
    <w:rsid w:val="004A6108"/>
    <w:rsid w:val="004A6C5E"/>
    <w:rsid w:val="004B0230"/>
    <w:rsid w:val="004B0799"/>
    <w:rsid w:val="004B2292"/>
    <w:rsid w:val="004B6AC5"/>
    <w:rsid w:val="004C18E2"/>
    <w:rsid w:val="004C40C9"/>
    <w:rsid w:val="004D0B8A"/>
    <w:rsid w:val="004D1B59"/>
    <w:rsid w:val="004D3491"/>
    <w:rsid w:val="004D57AD"/>
    <w:rsid w:val="004D5B29"/>
    <w:rsid w:val="004D7B14"/>
    <w:rsid w:val="004E02BF"/>
    <w:rsid w:val="004E0916"/>
    <w:rsid w:val="004E103F"/>
    <w:rsid w:val="004E1390"/>
    <w:rsid w:val="004E1A30"/>
    <w:rsid w:val="004E2C31"/>
    <w:rsid w:val="004E42A6"/>
    <w:rsid w:val="004E51A4"/>
    <w:rsid w:val="004E521B"/>
    <w:rsid w:val="004E6125"/>
    <w:rsid w:val="004E7E55"/>
    <w:rsid w:val="004F292F"/>
    <w:rsid w:val="004F3A0B"/>
    <w:rsid w:val="004F5F56"/>
    <w:rsid w:val="004F6A21"/>
    <w:rsid w:val="004F786A"/>
    <w:rsid w:val="005001FE"/>
    <w:rsid w:val="0050112C"/>
    <w:rsid w:val="00501177"/>
    <w:rsid w:val="00501EC4"/>
    <w:rsid w:val="005033EA"/>
    <w:rsid w:val="00503C02"/>
    <w:rsid w:val="005070A9"/>
    <w:rsid w:val="005111BC"/>
    <w:rsid w:val="00511242"/>
    <w:rsid w:val="00511920"/>
    <w:rsid w:val="00511A08"/>
    <w:rsid w:val="005157A2"/>
    <w:rsid w:val="00520077"/>
    <w:rsid w:val="00521F29"/>
    <w:rsid w:val="00523AA5"/>
    <w:rsid w:val="00525253"/>
    <w:rsid w:val="00537236"/>
    <w:rsid w:val="00541D38"/>
    <w:rsid w:val="00542DEA"/>
    <w:rsid w:val="00542E52"/>
    <w:rsid w:val="005445C3"/>
    <w:rsid w:val="005446BD"/>
    <w:rsid w:val="005454A2"/>
    <w:rsid w:val="00545848"/>
    <w:rsid w:val="005515C9"/>
    <w:rsid w:val="005547F1"/>
    <w:rsid w:val="0055669D"/>
    <w:rsid w:val="005614DD"/>
    <w:rsid w:val="005633B1"/>
    <w:rsid w:val="005645B8"/>
    <w:rsid w:val="0057757C"/>
    <w:rsid w:val="00581E7F"/>
    <w:rsid w:val="00584E6B"/>
    <w:rsid w:val="00594A6D"/>
    <w:rsid w:val="005976FC"/>
    <w:rsid w:val="005977F1"/>
    <w:rsid w:val="00597B6C"/>
    <w:rsid w:val="00597D99"/>
    <w:rsid w:val="005A07CE"/>
    <w:rsid w:val="005A5B68"/>
    <w:rsid w:val="005A5F06"/>
    <w:rsid w:val="005A661C"/>
    <w:rsid w:val="005A6882"/>
    <w:rsid w:val="005B2D5E"/>
    <w:rsid w:val="005B5A2D"/>
    <w:rsid w:val="005C08E2"/>
    <w:rsid w:val="005C0BD3"/>
    <w:rsid w:val="005D1A4A"/>
    <w:rsid w:val="005D3980"/>
    <w:rsid w:val="005D47D0"/>
    <w:rsid w:val="005D5EFF"/>
    <w:rsid w:val="005D6C8B"/>
    <w:rsid w:val="005E032E"/>
    <w:rsid w:val="005E11B1"/>
    <w:rsid w:val="005E2293"/>
    <w:rsid w:val="005E7EDF"/>
    <w:rsid w:val="005F2D59"/>
    <w:rsid w:val="0060046D"/>
    <w:rsid w:val="00600D41"/>
    <w:rsid w:val="0060120C"/>
    <w:rsid w:val="00604586"/>
    <w:rsid w:val="00604912"/>
    <w:rsid w:val="00610F4A"/>
    <w:rsid w:val="006115A9"/>
    <w:rsid w:val="006133C8"/>
    <w:rsid w:val="006134AA"/>
    <w:rsid w:val="00620666"/>
    <w:rsid w:val="006217FD"/>
    <w:rsid w:val="0062232F"/>
    <w:rsid w:val="006226C1"/>
    <w:rsid w:val="00625723"/>
    <w:rsid w:val="00626E6A"/>
    <w:rsid w:val="00630613"/>
    <w:rsid w:val="00630D1C"/>
    <w:rsid w:val="0063105D"/>
    <w:rsid w:val="00631EA9"/>
    <w:rsid w:val="0063764D"/>
    <w:rsid w:val="00637B45"/>
    <w:rsid w:val="0064225D"/>
    <w:rsid w:val="006464E5"/>
    <w:rsid w:val="00647DE8"/>
    <w:rsid w:val="0065013C"/>
    <w:rsid w:val="00652036"/>
    <w:rsid w:val="00653F5E"/>
    <w:rsid w:val="00657FBF"/>
    <w:rsid w:val="0066677F"/>
    <w:rsid w:val="00670CFD"/>
    <w:rsid w:val="0068084E"/>
    <w:rsid w:val="0068123A"/>
    <w:rsid w:val="0068329B"/>
    <w:rsid w:val="00683E1A"/>
    <w:rsid w:val="00687255"/>
    <w:rsid w:val="00687983"/>
    <w:rsid w:val="00692BC9"/>
    <w:rsid w:val="00694C5C"/>
    <w:rsid w:val="006951BC"/>
    <w:rsid w:val="006A0231"/>
    <w:rsid w:val="006A52C9"/>
    <w:rsid w:val="006A557D"/>
    <w:rsid w:val="006A7730"/>
    <w:rsid w:val="006B219E"/>
    <w:rsid w:val="006B305A"/>
    <w:rsid w:val="006B3BEC"/>
    <w:rsid w:val="006B3C18"/>
    <w:rsid w:val="006C517B"/>
    <w:rsid w:val="006C7276"/>
    <w:rsid w:val="006D01B5"/>
    <w:rsid w:val="006D5C4E"/>
    <w:rsid w:val="006D71B5"/>
    <w:rsid w:val="006D7B5F"/>
    <w:rsid w:val="006E084E"/>
    <w:rsid w:val="006E7462"/>
    <w:rsid w:val="006E7CEA"/>
    <w:rsid w:val="006F0901"/>
    <w:rsid w:val="006F2CBC"/>
    <w:rsid w:val="006F2CC8"/>
    <w:rsid w:val="006F64EC"/>
    <w:rsid w:val="00701029"/>
    <w:rsid w:val="00703FBA"/>
    <w:rsid w:val="0071014B"/>
    <w:rsid w:val="0071173A"/>
    <w:rsid w:val="007123F4"/>
    <w:rsid w:val="00712796"/>
    <w:rsid w:val="00712F22"/>
    <w:rsid w:val="00713EB9"/>
    <w:rsid w:val="007158D3"/>
    <w:rsid w:val="0072086D"/>
    <w:rsid w:val="007213CF"/>
    <w:rsid w:val="00723B94"/>
    <w:rsid w:val="00724024"/>
    <w:rsid w:val="0072527D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93"/>
    <w:rsid w:val="00752EF0"/>
    <w:rsid w:val="0075595E"/>
    <w:rsid w:val="00755D5E"/>
    <w:rsid w:val="00757A9B"/>
    <w:rsid w:val="00757E6D"/>
    <w:rsid w:val="007617AD"/>
    <w:rsid w:val="007617BA"/>
    <w:rsid w:val="00763460"/>
    <w:rsid w:val="00766A1D"/>
    <w:rsid w:val="00766FD6"/>
    <w:rsid w:val="00767282"/>
    <w:rsid w:val="00770E2A"/>
    <w:rsid w:val="007716E6"/>
    <w:rsid w:val="007734E6"/>
    <w:rsid w:val="00773B02"/>
    <w:rsid w:val="00786A72"/>
    <w:rsid w:val="0078707E"/>
    <w:rsid w:val="007909B1"/>
    <w:rsid w:val="007934AF"/>
    <w:rsid w:val="0079386F"/>
    <w:rsid w:val="00793B11"/>
    <w:rsid w:val="00794BBD"/>
    <w:rsid w:val="00794F8E"/>
    <w:rsid w:val="007965BB"/>
    <w:rsid w:val="007976F7"/>
    <w:rsid w:val="007A2B6A"/>
    <w:rsid w:val="007A2F96"/>
    <w:rsid w:val="007A30F7"/>
    <w:rsid w:val="007A319D"/>
    <w:rsid w:val="007A6EF9"/>
    <w:rsid w:val="007A78D4"/>
    <w:rsid w:val="007A7A50"/>
    <w:rsid w:val="007B0ACA"/>
    <w:rsid w:val="007B0B9D"/>
    <w:rsid w:val="007B29CE"/>
    <w:rsid w:val="007B4793"/>
    <w:rsid w:val="007B54EA"/>
    <w:rsid w:val="007B5CED"/>
    <w:rsid w:val="007B63E5"/>
    <w:rsid w:val="007B664D"/>
    <w:rsid w:val="007B7B7F"/>
    <w:rsid w:val="007B7CDE"/>
    <w:rsid w:val="007C1C1C"/>
    <w:rsid w:val="007C3286"/>
    <w:rsid w:val="007C746F"/>
    <w:rsid w:val="007C7B70"/>
    <w:rsid w:val="007D1F80"/>
    <w:rsid w:val="007D2001"/>
    <w:rsid w:val="007D2C57"/>
    <w:rsid w:val="007D7599"/>
    <w:rsid w:val="007D7A99"/>
    <w:rsid w:val="007E430A"/>
    <w:rsid w:val="007F2B11"/>
    <w:rsid w:val="007F3C63"/>
    <w:rsid w:val="007F4548"/>
    <w:rsid w:val="007F48A6"/>
    <w:rsid w:val="007F4FC2"/>
    <w:rsid w:val="007F76E0"/>
    <w:rsid w:val="00801428"/>
    <w:rsid w:val="00802B91"/>
    <w:rsid w:val="00803C08"/>
    <w:rsid w:val="00805AE8"/>
    <w:rsid w:val="00806706"/>
    <w:rsid w:val="0081000B"/>
    <w:rsid w:val="00812FF4"/>
    <w:rsid w:val="00814EF5"/>
    <w:rsid w:val="00817EB0"/>
    <w:rsid w:val="00821AAE"/>
    <w:rsid w:val="00823987"/>
    <w:rsid w:val="00823BF0"/>
    <w:rsid w:val="008264F4"/>
    <w:rsid w:val="008264FE"/>
    <w:rsid w:val="008268AC"/>
    <w:rsid w:val="008275DD"/>
    <w:rsid w:val="00831ADA"/>
    <w:rsid w:val="00832031"/>
    <w:rsid w:val="0083506F"/>
    <w:rsid w:val="00835732"/>
    <w:rsid w:val="00835B18"/>
    <w:rsid w:val="00844805"/>
    <w:rsid w:val="0084632E"/>
    <w:rsid w:val="008516EF"/>
    <w:rsid w:val="00853844"/>
    <w:rsid w:val="00863C60"/>
    <w:rsid w:val="00864418"/>
    <w:rsid w:val="0086657D"/>
    <w:rsid w:val="0086763C"/>
    <w:rsid w:val="00874B81"/>
    <w:rsid w:val="00875715"/>
    <w:rsid w:val="00881582"/>
    <w:rsid w:val="0088463E"/>
    <w:rsid w:val="008851F4"/>
    <w:rsid w:val="008858A0"/>
    <w:rsid w:val="0088666A"/>
    <w:rsid w:val="0088708A"/>
    <w:rsid w:val="008907FE"/>
    <w:rsid w:val="00891001"/>
    <w:rsid w:val="00891846"/>
    <w:rsid w:val="00891A70"/>
    <w:rsid w:val="00894B67"/>
    <w:rsid w:val="008952FF"/>
    <w:rsid w:val="008A3DF9"/>
    <w:rsid w:val="008A4135"/>
    <w:rsid w:val="008A6DDE"/>
    <w:rsid w:val="008A79A1"/>
    <w:rsid w:val="008B062F"/>
    <w:rsid w:val="008B0BCA"/>
    <w:rsid w:val="008B16B0"/>
    <w:rsid w:val="008B1BF8"/>
    <w:rsid w:val="008B1C31"/>
    <w:rsid w:val="008B2B27"/>
    <w:rsid w:val="008B3060"/>
    <w:rsid w:val="008B368C"/>
    <w:rsid w:val="008B53EE"/>
    <w:rsid w:val="008B6646"/>
    <w:rsid w:val="008C7764"/>
    <w:rsid w:val="008D0A97"/>
    <w:rsid w:val="008D6196"/>
    <w:rsid w:val="008D6674"/>
    <w:rsid w:val="008E1B30"/>
    <w:rsid w:val="008E1C24"/>
    <w:rsid w:val="008E479D"/>
    <w:rsid w:val="008E56E4"/>
    <w:rsid w:val="008E773D"/>
    <w:rsid w:val="008F11B7"/>
    <w:rsid w:val="008F7283"/>
    <w:rsid w:val="009024DE"/>
    <w:rsid w:val="00903D6B"/>
    <w:rsid w:val="00904DDF"/>
    <w:rsid w:val="00910E5F"/>
    <w:rsid w:val="00915F85"/>
    <w:rsid w:val="00917FAE"/>
    <w:rsid w:val="009201C5"/>
    <w:rsid w:val="0092067E"/>
    <w:rsid w:val="00924478"/>
    <w:rsid w:val="009262A7"/>
    <w:rsid w:val="009279E6"/>
    <w:rsid w:val="00930891"/>
    <w:rsid w:val="00932293"/>
    <w:rsid w:val="009337CE"/>
    <w:rsid w:val="009341C4"/>
    <w:rsid w:val="009360F1"/>
    <w:rsid w:val="009361B7"/>
    <w:rsid w:val="0093629A"/>
    <w:rsid w:val="00936F53"/>
    <w:rsid w:val="00937DDA"/>
    <w:rsid w:val="009410F4"/>
    <w:rsid w:val="00947F1C"/>
    <w:rsid w:val="009501AB"/>
    <w:rsid w:val="00950482"/>
    <w:rsid w:val="009510FC"/>
    <w:rsid w:val="00952A52"/>
    <w:rsid w:val="00952E63"/>
    <w:rsid w:val="009541E9"/>
    <w:rsid w:val="0095546B"/>
    <w:rsid w:val="00955F26"/>
    <w:rsid w:val="00957430"/>
    <w:rsid w:val="00960DF1"/>
    <w:rsid w:val="00961325"/>
    <w:rsid w:val="00961D5C"/>
    <w:rsid w:val="009646B9"/>
    <w:rsid w:val="00964D72"/>
    <w:rsid w:val="0096566A"/>
    <w:rsid w:val="009674ED"/>
    <w:rsid w:val="009707E7"/>
    <w:rsid w:val="009801D4"/>
    <w:rsid w:val="00993ADA"/>
    <w:rsid w:val="00993AF5"/>
    <w:rsid w:val="009A41F9"/>
    <w:rsid w:val="009A4352"/>
    <w:rsid w:val="009B0E5D"/>
    <w:rsid w:val="009B16D6"/>
    <w:rsid w:val="009B23A5"/>
    <w:rsid w:val="009B42EF"/>
    <w:rsid w:val="009B6015"/>
    <w:rsid w:val="009B7316"/>
    <w:rsid w:val="009C1908"/>
    <w:rsid w:val="009C7575"/>
    <w:rsid w:val="009C7BD8"/>
    <w:rsid w:val="009C7C5E"/>
    <w:rsid w:val="009D1C0E"/>
    <w:rsid w:val="009D2AE2"/>
    <w:rsid w:val="009D41B9"/>
    <w:rsid w:val="009D49FD"/>
    <w:rsid w:val="009E2405"/>
    <w:rsid w:val="009E2650"/>
    <w:rsid w:val="009F174A"/>
    <w:rsid w:val="009F47ED"/>
    <w:rsid w:val="009F7A58"/>
    <w:rsid w:val="00A00DB2"/>
    <w:rsid w:val="00A0175A"/>
    <w:rsid w:val="00A01DD5"/>
    <w:rsid w:val="00A02179"/>
    <w:rsid w:val="00A06845"/>
    <w:rsid w:val="00A13D50"/>
    <w:rsid w:val="00A260D4"/>
    <w:rsid w:val="00A43FE7"/>
    <w:rsid w:val="00A44077"/>
    <w:rsid w:val="00A4413E"/>
    <w:rsid w:val="00A4496B"/>
    <w:rsid w:val="00A4749B"/>
    <w:rsid w:val="00A53964"/>
    <w:rsid w:val="00A53A7C"/>
    <w:rsid w:val="00A57121"/>
    <w:rsid w:val="00A60EFB"/>
    <w:rsid w:val="00A64217"/>
    <w:rsid w:val="00A64391"/>
    <w:rsid w:val="00A66AF0"/>
    <w:rsid w:val="00A67D78"/>
    <w:rsid w:val="00A67ED7"/>
    <w:rsid w:val="00A701AC"/>
    <w:rsid w:val="00A70A61"/>
    <w:rsid w:val="00A72ACC"/>
    <w:rsid w:val="00A731DA"/>
    <w:rsid w:val="00A748DD"/>
    <w:rsid w:val="00A75AB0"/>
    <w:rsid w:val="00A80F0A"/>
    <w:rsid w:val="00A823FA"/>
    <w:rsid w:val="00A84C1B"/>
    <w:rsid w:val="00A85BDF"/>
    <w:rsid w:val="00A866E6"/>
    <w:rsid w:val="00A92FC3"/>
    <w:rsid w:val="00A93B9A"/>
    <w:rsid w:val="00A95E27"/>
    <w:rsid w:val="00AA16E2"/>
    <w:rsid w:val="00AA433E"/>
    <w:rsid w:val="00AB25AF"/>
    <w:rsid w:val="00AB29CF"/>
    <w:rsid w:val="00AB4EAE"/>
    <w:rsid w:val="00AB659F"/>
    <w:rsid w:val="00AB6901"/>
    <w:rsid w:val="00AB74DE"/>
    <w:rsid w:val="00AB7B14"/>
    <w:rsid w:val="00AC5B6A"/>
    <w:rsid w:val="00AC79C5"/>
    <w:rsid w:val="00AD0DA6"/>
    <w:rsid w:val="00AD17B7"/>
    <w:rsid w:val="00AD1C53"/>
    <w:rsid w:val="00AD3339"/>
    <w:rsid w:val="00AD7385"/>
    <w:rsid w:val="00AD7681"/>
    <w:rsid w:val="00AE065B"/>
    <w:rsid w:val="00AE0F68"/>
    <w:rsid w:val="00AE161D"/>
    <w:rsid w:val="00AE19EB"/>
    <w:rsid w:val="00AE2478"/>
    <w:rsid w:val="00AE5079"/>
    <w:rsid w:val="00AE6568"/>
    <w:rsid w:val="00AF3B54"/>
    <w:rsid w:val="00AF64E7"/>
    <w:rsid w:val="00B02420"/>
    <w:rsid w:val="00B02858"/>
    <w:rsid w:val="00B040F4"/>
    <w:rsid w:val="00B04333"/>
    <w:rsid w:val="00B06DA3"/>
    <w:rsid w:val="00B07E96"/>
    <w:rsid w:val="00B160AA"/>
    <w:rsid w:val="00B260AA"/>
    <w:rsid w:val="00B27B5B"/>
    <w:rsid w:val="00B27D9A"/>
    <w:rsid w:val="00B3521A"/>
    <w:rsid w:val="00B37366"/>
    <w:rsid w:val="00B40241"/>
    <w:rsid w:val="00B41796"/>
    <w:rsid w:val="00B42501"/>
    <w:rsid w:val="00B43A2E"/>
    <w:rsid w:val="00B44913"/>
    <w:rsid w:val="00B47A14"/>
    <w:rsid w:val="00B50758"/>
    <w:rsid w:val="00B526CD"/>
    <w:rsid w:val="00B52CCB"/>
    <w:rsid w:val="00B5568D"/>
    <w:rsid w:val="00B55AC2"/>
    <w:rsid w:val="00B60BA9"/>
    <w:rsid w:val="00B647F9"/>
    <w:rsid w:val="00B66A0A"/>
    <w:rsid w:val="00B6739E"/>
    <w:rsid w:val="00B707F1"/>
    <w:rsid w:val="00B72A6B"/>
    <w:rsid w:val="00B72A75"/>
    <w:rsid w:val="00B742A7"/>
    <w:rsid w:val="00B81C50"/>
    <w:rsid w:val="00B84363"/>
    <w:rsid w:val="00B8482B"/>
    <w:rsid w:val="00B84918"/>
    <w:rsid w:val="00B872FA"/>
    <w:rsid w:val="00B87D77"/>
    <w:rsid w:val="00B905B1"/>
    <w:rsid w:val="00B92CDD"/>
    <w:rsid w:val="00B93F01"/>
    <w:rsid w:val="00B94B02"/>
    <w:rsid w:val="00B95969"/>
    <w:rsid w:val="00B97EAF"/>
    <w:rsid w:val="00BA4001"/>
    <w:rsid w:val="00BA6C6E"/>
    <w:rsid w:val="00BA7BDF"/>
    <w:rsid w:val="00BB0AEC"/>
    <w:rsid w:val="00BB1A6A"/>
    <w:rsid w:val="00BB21B2"/>
    <w:rsid w:val="00BB31FB"/>
    <w:rsid w:val="00BB37A5"/>
    <w:rsid w:val="00BB634F"/>
    <w:rsid w:val="00BB6CCF"/>
    <w:rsid w:val="00BB6DC5"/>
    <w:rsid w:val="00BB6E8D"/>
    <w:rsid w:val="00BB7E59"/>
    <w:rsid w:val="00BC2ED0"/>
    <w:rsid w:val="00BC6937"/>
    <w:rsid w:val="00BC6CD0"/>
    <w:rsid w:val="00BD48EA"/>
    <w:rsid w:val="00BD50C1"/>
    <w:rsid w:val="00BD6A4D"/>
    <w:rsid w:val="00BD7A7F"/>
    <w:rsid w:val="00BD7F5C"/>
    <w:rsid w:val="00BD7F85"/>
    <w:rsid w:val="00BE025F"/>
    <w:rsid w:val="00BE0457"/>
    <w:rsid w:val="00BE0613"/>
    <w:rsid w:val="00BE4689"/>
    <w:rsid w:val="00BE4A0A"/>
    <w:rsid w:val="00BE6763"/>
    <w:rsid w:val="00BE6E17"/>
    <w:rsid w:val="00BE7244"/>
    <w:rsid w:val="00BE73C8"/>
    <w:rsid w:val="00BE741D"/>
    <w:rsid w:val="00BE7C65"/>
    <w:rsid w:val="00BF0DEA"/>
    <w:rsid w:val="00BF1C6D"/>
    <w:rsid w:val="00C00AD7"/>
    <w:rsid w:val="00C030E7"/>
    <w:rsid w:val="00C03F7F"/>
    <w:rsid w:val="00C0423F"/>
    <w:rsid w:val="00C04CD4"/>
    <w:rsid w:val="00C050C3"/>
    <w:rsid w:val="00C05E22"/>
    <w:rsid w:val="00C12BEA"/>
    <w:rsid w:val="00C15405"/>
    <w:rsid w:val="00C202E2"/>
    <w:rsid w:val="00C20822"/>
    <w:rsid w:val="00C21717"/>
    <w:rsid w:val="00C22356"/>
    <w:rsid w:val="00C23AE4"/>
    <w:rsid w:val="00C2498B"/>
    <w:rsid w:val="00C311AE"/>
    <w:rsid w:val="00C31221"/>
    <w:rsid w:val="00C3355E"/>
    <w:rsid w:val="00C356AB"/>
    <w:rsid w:val="00C363D3"/>
    <w:rsid w:val="00C403A6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37C7"/>
    <w:rsid w:val="00C658FF"/>
    <w:rsid w:val="00C66B59"/>
    <w:rsid w:val="00C67B73"/>
    <w:rsid w:val="00C67DA6"/>
    <w:rsid w:val="00C7464C"/>
    <w:rsid w:val="00C746A9"/>
    <w:rsid w:val="00C75281"/>
    <w:rsid w:val="00C760BB"/>
    <w:rsid w:val="00C762D3"/>
    <w:rsid w:val="00C76742"/>
    <w:rsid w:val="00C77FE5"/>
    <w:rsid w:val="00C860B2"/>
    <w:rsid w:val="00C86F1A"/>
    <w:rsid w:val="00C87AB2"/>
    <w:rsid w:val="00C902B6"/>
    <w:rsid w:val="00C90653"/>
    <w:rsid w:val="00C90A86"/>
    <w:rsid w:val="00C90EA2"/>
    <w:rsid w:val="00C941BF"/>
    <w:rsid w:val="00C966B0"/>
    <w:rsid w:val="00C96B7B"/>
    <w:rsid w:val="00CA2EBC"/>
    <w:rsid w:val="00CA3F3B"/>
    <w:rsid w:val="00CA400A"/>
    <w:rsid w:val="00CA54EC"/>
    <w:rsid w:val="00CA691A"/>
    <w:rsid w:val="00CB0081"/>
    <w:rsid w:val="00CB122A"/>
    <w:rsid w:val="00CB1EC7"/>
    <w:rsid w:val="00CB238E"/>
    <w:rsid w:val="00CB313B"/>
    <w:rsid w:val="00CB4EBA"/>
    <w:rsid w:val="00CB7043"/>
    <w:rsid w:val="00CC0A0F"/>
    <w:rsid w:val="00CC24E7"/>
    <w:rsid w:val="00CC714C"/>
    <w:rsid w:val="00CC7591"/>
    <w:rsid w:val="00CC795E"/>
    <w:rsid w:val="00CD00B5"/>
    <w:rsid w:val="00CD071E"/>
    <w:rsid w:val="00CD5E2C"/>
    <w:rsid w:val="00CD6284"/>
    <w:rsid w:val="00CD6F80"/>
    <w:rsid w:val="00CD79F5"/>
    <w:rsid w:val="00CE110B"/>
    <w:rsid w:val="00CE15AA"/>
    <w:rsid w:val="00CE276E"/>
    <w:rsid w:val="00CE5C33"/>
    <w:rsid w:val="00CE6820"/>
    <w:rsid w:val="00CE6EA2"/>
    <w:rsid w:val="00CE6FD3"/>
    <w:rsid w:val="00CE78AB"/>
    <w:rsid w:val="00CE7F6F"/>
    <w:rsid w:val="00CF1A4C"/>
    <w:rsid w:val="00CF3AA6"/>
    <w:rsid w:val="00CF456F"/>
    <w:rsid w:val="00CF67CA"/>
    <w:rsid w:val="00D00E22"/>
    <w:rsid w:val="00D00FA6"/>
    <w:rsid w:val="00D0244C"/>
    <w:rsid w:val="00D02B38"/>
    <w:rsid w:val="00D0333E"/>
    <w:rsid w:val="00D04553"/>
    <w:rsid w:val="00D06D30"/>
    <w:rsid w:val="00D135F7"/>
    <w:rsid w:val="00D16D5A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04E6"/>
    <w:rsid w:val="00D410E0"/>
    <w:rsid w:val="00D41221"/>
    <w:rsid w:val="00D416A6"/>
    <w:rsid w:val="00D4176A"/>
    <w:rsid w:val="00D41C7F"/>
    <w:rsid w:val="00D47C34"/>
    <w:rsid w:val="00D5159E"/>
    <w:rsid w:val="00D52FC5"/>
    <w:rsid w:val="00D54FDB"/>
    <w:rsid w:val="00D56140"/>
    <w:rsid w:val="00D5675C"/>
    <w:rsid w:val="00D6359F"/>
    <w:rsid w:val="00D63609"/>
    <w:rsid w:val="00D64206"/>
    <w:rsid w:val="00D64C2C"/>
    <w:rsid w:val="00D65408"/>
    <w:rsid w:val="00D67207"/>
    <w:rsid w:val="00D71402"/>
    <w:rsid w:val="00D71935"/>
    <w:rsid w:val="00D7518E"/>
    <w:rsid w:val="00D75E00"/>
    <w:rsid w:val="00D80BD7"/>
    <w:rsid w:val="00D81F87"/>
    <w:rsid w:val="00D83A84"/>
    <w:rsid w:val="00D87E92"/>
    <w:rsid w:val="00D92012"/>
    <w:rsid w:val="00D92D81"/>
    <w:rsid w:val="00D94630"/>
    <w:rsid w:val="00D94869"/>
    <w:rsid w:val="00D95259"/>
    <w:rsid w:val="00DA1AEE"/>
    <w:rsid w:val="00DA3264"/>
    <w:rsid w:val="00DA4CFF"/>
    <w:rsid w:val="00DB0D26"/>
    <w:rsid w:val="00DB2713"/>
    <w:rsid w:val="00DB27FD"/>
    <w:rsid w:val="00DC0057"/>
    <w:rsid w:val="00DC1F85"/>
    <w:rsid w:val="00DC545E"/>
    <w:rsid w:val="00DD1CD4"/>
    <w:rsid w:val="00DD2590"/>
    <w:rsid w:val="00DD3497"/>
    <w:rsid w:val="00DD52EC"/>
    <w:rsid w:val="00DD6E4A"/>
    <w:rsid w:val="00DE10C1"/>
    <w:rsid w:val="00DE1428"/>
    <w:rsid w:val="00DE2333"/>
    <w:rsid w:val="00DE43F7"/>
    <w:rsid w:val="00DE4A88"/>
    <w:rsid w:val="00DF0141"/>
    <w:rsid w:val="00DF0316"/>
    <w:rsid w:val="00DF1708"/>
    <w:rsid w:val="00DF272B"/>
    <w:rsid w:val="00DF35BA"/>
    <w:rsid w:val="00DF4438"/>
    <w:rsid w:val="00DF52BB"/>
    <w:rsid w:val="00E01286"/>
    <w:rsid w:val="00E0579C"/>
    <w:rsid w:val="00E06146"/>
    <w:rsid w:val="00E116E2"/>
    <w:rsid w:val="00E14335"/>
    <w:rsid w:val="00E20D92"/>
    <w:rsid w:val="00E2796E"/>
    <w:rsid w:val="00E3063B"/>
    <w:rsid w:val="00E32E95"/>
    <w:rsid w:val="00E33F79"/>
    <w:rsid w:val="00E366A8"/>
    <w:rsid w:val="00E4162E"/>
    <w:rsid w:val="00E424B1"/>
    <w:rsid w:val="00E60951"/>
    <w:rsid w:val="00E61395"/>
    <w:rsid w:val="00E63A3C"/>
    <w:rsid w:val="00E73264"/>
    <w:rsid w:val="00E7346B"/>
    <w:rsid w:val="00E73CB7"/>
    <w:rsid w:val="00E8483D"/>
    <w:rsid w:val="00E84D97"/>
    <w:rsid w:val="00E84DFA"/>
    <w:rsid w:val="00E87880"/>
    <w:rsid w:val="00E91328"/>
    <w:rsid w:val="00E9395F"/>
    <w:rsid w:val="00E93D45"/>
    <w:rsid w:val="00E94E1A"/>
    <w:rsid w:val="00E97DEA"/>
    <w:rsid w:val="00EA0670"/>
    <w:rsid w:val="00EA0A08"/>
    <w:rsid w:val="00EA28DB"/>
    <w:rsid w:val="00EA2BF2"/>
    <w:rsid w:val="00EA6692"/>
    <w:rsid w:val="00EA6875"/>
    <w:rsid w:val="00EB193F"/>
    <w:rsid w:val="00EB5D06"/>
    <w:rsid w:val="00EB6339"/>
    <w:rsid w:val="00EC0AA2"/>
    <w:rsid w:val="00EC1285"/>
    <w:rsid w:val="00EC6B81"/>
    <w:rsid w:val="00EC7BB7"/>
    <w:rsid w:val="00ED2244"/>
    <w:rsid w:val="00ED3AB7"/>
    <w:rsid w:val="00ED4EC6"/>
    <w:rsid w:val="00ED7BB7"/>
    <w:rsid w:val="00EE009E"/>
    <w:rsid w:val="00EE16DB"/>
    <w:rsid w:val="00EE182D"/>
    <w:rsid w:val="00EE381D"/>
    <w:rsid w:val="00EE74B3"/>
    <w:rsid w:val="00EE777A"/>
    <w:rsid w:val="00EF1361"/>
    <w:rsid w:val="00EF26CD"/>
    <w:rsid w:val="00EF2A68"/>
    <w:rsid w:val="00EF30B1"/>
    <w:rsid w:val="00EF5D03"/>
    <w:rsid w:val="00F02A85"/>
    <w:rsid w:val="00F02F2C"/>
    <w:rsid w:val="00F040DC"/>
    <w:rsid w:val="00F054A2"/>
    <w:rsid w:val="00F1231A"/>
    <w:rsid w:val="00F13EE9"/>
    <w:rsid w:val="00F209E3"/>
    <w:rsid w:val="00F25DAA"/>
    <w:rsid w:val="00F27E21"/>
    <w:rsid w:val="00F30080"/>
    <w:rsid w:val="00F3058D"/>
    <w:rsid w:val="00F3273F"/>
    <w:rsid w:val="00F339CD"/>
    <w:rsid w:val="00F340E0"/>
    <w:rsid w:val="00F37384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0D"/>
    <w:rsid w:val="00F60537"/>
    <w:rsid w:val="00F60BA8"/>
    <w:rsid w:val="00F64629"/>
    <w:rsid w:val="00F64AF3"/>
    <w:rsid w:val="00F66382"/>
    <w:rsid w:val="00F67B64"/>
    <w:rsid w:val="00F70388"/>
    <w:rsid w:val="00F815D2"/>
    <w:rsid w:val="00F9093C"/>
    <w:rsid w:val="00F913A5"/>
    <w:rsid w:val="00F958E9"/>
    <w:rsid w:val="00FA0034"/>
    <w:rsid w:val="00FA39B6"/>
    <w:rsid w:val="00FA4A2A"/>
    <w:rsid w:val="00FA6366"/>
    <w:rsid w:val="00FB138C"/>
    <w:rsid w:val="00FB14C2"/>
    <w:rsid w:val="00FB34B7"/>
    <w:rsid w:val="00FB3DD7"/>
    <w:rsid w:val="00FB6CE1"/>
    <w:rsid w:val="00FC15E7"/>
    <w:rsid w:val="00FC2EE9"/>
    <w:rsid w:val="00FC5798"/>
    <w:rsid w:val="00FC7B35"/>
    <w:rsid w:val="00FD0700"/>
    <w:rsid w:val="00FD20C3"/>
    <w:rsid w:val="00FD34B4"/>
    <w:rsid w:val="00FE0D13"/>
    <w:rsid w:val="00FE1C99"/>
    <w:rsid w:val="00FE41AF"/>
    <w:rsid w:val="00FE6F41"/>
    <w:rsid w:val="00FF0C2A"/>
    <w:rsid w:val="00FF1022"/>
    <w:rsid w:val="00FF1AB9"/>
    <w:rsid w:val="00FF1CAB"/>
    <w:rsid w:val="00FF396F"/>
    <w:rsid w:val="00FF58DA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3A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7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  <w:style w:type="character" w:customStyle="1" w:styleId="20">
    <w:name w:val="Заголовок 2 Знак"/>
    <w:basedOn w:val="a0"/>
    <w:link w:val="2"/>
    <w:uiPriority w:val="9"/>
    <w:rsid w:val="00112D3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ardmaininfopurchaselink">
    <w:name w:val="cardmaininfo__purchaselink"/>
    <w:rsid w:val="00112D3A"/>
  </w:style>
  <w:style w:type="character" w:customStyle="1" w:styleId="highlightcolor">
    <w:name w:val="highlightcolor"/>
    <w:rsid w:val="009F7A58"/>
  </w:style>
  <w:style w:type="character" w:customStyle="1" w:styleId="30">
    <w:name w:val="Заголовок 3 Знак"/>
    <w:basedOn w:val="a0"/>
    <w:link w:val="3"/>
    <w:uiPriority w:val="9"/>
    <w:semiHidden/>
    <w:rsid w:val="007A30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ardmaininfocontent2">
    <w:name w:val="cardmaininfo__content2"/>
    <w:rsid w:val="00821AAE"/>
    <w:rPr>
      <w:vanish/>
      <w:webHidden w:val="0"/>
      <w:specVanish/>
    </w:rPr>
  </w:style>
  <w:style w:type="character" w:styleId="afe">
    <w:name w:val="FollowedHyperlink"/>
    <w:basedOn w:val="a0"/>
    <w:uiPriority w:val="99"/>
    <w:semiHidden/>
    <w:unhideWhenUsed/>
    <w:rsid w:val="008D6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3A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7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  <w:style w:type="character" w:customStyle="1" w:styleId="20">
    <w:name w:val="Заголовок 2 Знак"/>
    <w:basedOn w:val="a0"/>
    <w:link w:val="2"/>
    <w:uiPriority w:val="9"/>
    <w:rsid w:val="00112D3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ardmaininfopurchaselink">
    <w:name w:val="cardmaininfo__purchaselink"/>
    <w:rsid w:val="00112D3A"/>
  </w:style>
  <w:style w:type="character" w:customStyle="1" w:styleId="highlightcolor">
    <w:name w:val="highlightcolor"/>
    <w:rsid w:val="009F7A58"/>
  </w:style>
  <w:style w:type="character" w:customStyle="1" w:styleId="30">
    <w:name w:val="Заголовок 3 Знак"/>
    <w:basedOn w:val="a0"/>
    <w:link w:val="3"/>
    <w:uiPriority w:val="9"/>
    <w:semiHidden/>
    <w:rsid w:val="007A30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ardmaininfocontent2">
    <w:name w:val="cardmaininfo__content2"/>
    <w:rsid w:val="00821AAE"/>
    <w:rPr>
      <w:vanish/>
      <w:webHidden w:val="0"/>
      <w:specVanish/>
    </w:rPr>
  </w:style>
  <w:style w:type="character" w:styleId="afe">
    <w:name w:val="FollowedHyperlink"/>
    <w:basedOn w:val="a0"/>
    <w:uiPriority w:val="99"/>
    <w:semiHidden/>
    <w:unhideWhenUsed/>
    <w:rsid w:val="008D6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2022%20&#1084;&#1072;&#1088;&#1090;\&#1086;&#1075;&#1082;&#1091;%20&#1084;&#1072;&#1088;&#1090;\&#1076;&#1072;&#1085;&#1085;&#1099;&#1077;%20&#1084;&#1072;&#1088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54;&#1043;&#1050;&#1059;\&#1086;&#1073;&#1098;&#1103;&#1074;&#1083;&#1077;&#1085;&#1085;&#1099;&#1077;%20&#1092;&#1077;&#1074;&#1088;&#1072;&#1083;&#1100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54;&#1043;&#1050;&#1059;\&#1086;&#1073;&#1098;&#1103;&#1074;&#1083;&#1077;&#1085;&#1085;&#1099;&#1077;%20&#1092;&#1077;&#1074;&#1088;&#1072;&#1083;&#1100;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54;&#1043;&#1050;&#1059;\&#1086;&#1073;&#1098;&#1103;&#1074;&#1083;&#1077;&#1085;&#1085;&#1099;&#1077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54;&#1043;&#1050;&#1059;\&#1057;&#1052;&#1055;%20&#1092;&#1077;&#1074;&#1088;&#1072;&#1083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5;&#1077;&#1089;&#1086;&#1089;&#1090;&#1086;&#1103;&#1074;&#1096;&#1080;&#1077;&#1089;&#1103;%20&#1092;&#1077;&#1074;&#1088;&#1072;&#1083;&#1100;%20202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vzyutov\Desktop\&#1052;&#1091;&#1085;&#1080;&#1094;&#1080;&#1087;&#1072;&#1083;&#1099;%20&#1060;&#1077;&#1074;&#1088;&#1072;&#1083;&#1100;\&#1054;&#1058;&#1063;&#1025;&#1058;%20&#1052;&#1059;&#1053;&#1048;&#1062;&#1048;&#1055;&#1040;&#1051;&#1067;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vzyutov\Desktop\&#1052;&#1091;&#1085;&#1080;&#1094;&#1080;&#1087;&#1072;&#1083;&#1099;%20&#1060;&#1077;&#1074;&#1088;&#1072;&#1083;&#1100;\&#1054;&#1058;&#1063;&#1025;&#1058;%20&#1052;&#1059;&#1053;&#1048;&#1062;&#1048;&#1055;&#1040;&#1051;&#1067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/>
              <a:t>Показатели ГРБС по объему конкурентных закупок (через Уполномоченный орган) </a:t>
            </a:r>
          </a:p>
          <a:p>
            <a:pPr>
              <a:defRPr sz="1400" b="1"/>
            </a:pPr>
            <a:r>
              <a:rPr lang="ru-RU" sz="1400" b="1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Минфин</c:v>
                </c:pt>
                <c:pt idx="4">
                  <c:v>Минпросв</c:v>
                </c:pt>
                <c:pt idx="5">
                  <c:v>Минсоц</c:v>
                </c:pt>
                <c:pt idx="6">
                  <c:v>Правительство</c:v>
                </c:pt>
                <c:pt idx="7">
                  <c:v>Минкульт</c:v>
                </c:pt>
                <c:pt idx="8">
                  <c:v>АгСуд</c:v>
                </c:pt>
                <c:pt idx="9">
                  <c:v>Минспорт</c:v>
                </c:pt>
                <c:pt idx="10">
                  <c:v>Минприроды</c:v>
                </c:pt>
                <c:pt idx="11">
                  <c:v>ЗакСобр</c:v>
                </c:pt>
                <c:pt idx="12">
                  <c:v>АгВет</c:v>
                </c:pt>
                <c:pt idx="13">
                  <c:v>АгРЧП</c:v>
                </c:pt>
                <c:pt idx="14">
                  <c:v>Аг Стройнадзор</c:v>
                </c:pt>
                <c:pt idx="15">
                  <c:v>Минэк</c:v>
                </c:pt>
                <c:pt idx="16">
                  <c:v>Минагр</c:v>
                </c:pt>
                <c:pt idx="17">
                  <c:v>Мин имущ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ЗАГС</c:v>
                </c:pt>
                <c:pt idx="21">
                  <c:v>АГЗ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707.28881214</c:v>
                </c:pt>
                <c:pt idx="1">
                  <c:v>89.054469389999994</c:v>
                </c:pt>
                <c:pt idx="2">
                  <c:v>75.358340839999997</c:v>
                </c:pt>
                <c:pt idx="3">
                  <c:v>44.906156029999998</c:v>
                </c:pt>
                <c:pt idx="4">
                  <c:v>42.017718580000007</c:v>
                </c:pt>
                <c:pt idx="5">
                  <c:v>22.137423289999997</c:v>
                </c:pt>
                <c:pt idx="6">
                  <c:v>17.398459729999999</c:v>
                </c:pt>
                <c:pt idx="7">
                  <c:v>6.2175178899999999</c:v>
                </c:pt>
                <c:pt idx="8">
                  <c:v>4.6717063400000001</c:v>
                </c:pt>
                <c:pt idx="9">
                  <c:v>3.5808639500000004</c:v>
                </c:pt>
                <c:pt idx="10">
                  <c:v>3.2529349999999999</c:v>
                </c:pt>
                <c:pt idx="11">
                  <c:v>2.2172299999999998</c:v>
                </c:pt>
                <c:pt idx="12">
                  <c:v>0.93169929000000007</c:v>
                </c:pt>
                <c:pt idx="13">
                  <c:v>0.75900000000000001</c:v>
                </c:pt>
                <c:pt idx="14">
                  <c:v>0.63554016000000002</c:v>
                </c:pt>
                <c:pt idx="15">
                  <c:v>0.54637258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4345728"/>
        <c:axId val="54347264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075297748585454E-2"/>
                  <c:y val="2.4482139369602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715058230786491E-2"/>
                  <c:y val="2.2440516169598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777865706485E-2"/>
                  <c:y val="-2.659731054489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0784104248273042E-4"/>
                  <c:y val="-2.400140998709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60393832680465E-2"/>
                  <c:y val="-1.7723156656234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97019216819003E-2"/>
                  <c:y val="-2.0789878579152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550693098036113E-2"/>
                  <c:y val="-2.7153302751856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393384244054921E-2"/>
                  <c:y val="2.4068479643311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174811063190015E-2"/>
                  <c:y val="-3.090291571992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67308985874258E-2"/>
                  <c:y val="3.1000852661112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434416175365113E-2"/>
                  <c:y val="-2.9386226903125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0100502512562912E-2"/>
                  <c:y val="2.4198427102238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4120603015075376E-2"/>
                  <c:y val="-3.145795523290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2780569514237858E-2"/>
                  <c:y val="2.9038112522685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0820770519263081E-2"/>
                  <c:y val="-3.145795523290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1440536013400336E-2"/>
                  <c:y val="-2.903811252268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Минфин</c:v>
                </c:pt>
                <c:pt idx="4">
                  <c:v>Минпросв</c:v>
                </c:pt>
                <c:pt idx="5">
                  <c:v>Минсоц</c:v>
                </c:pt>
                <c:pt idx="6">
                  <c:v>Правительство</c:v>
                </c:pt>
                <c:pt idx="7">
                  <c:v>Минкульт</c:v>
                </c:pt>
                <c:pt idx="8">
                  <c:v>АгСуд</c:v>
                </c:pt>
                <c:pt idx="9">
                  <c:v>Минспорт</c:v>
                </c:pt>
                <c:pt idx="10">
                  <c:v>Минприроды</c:v>
                </c:pt>
                <c:pt idx="11">
                  <c:v>ЗакСобр</c:v>
                </c:pt>
                <c:pt idx="12">
                  <c:v>АгВет</c:v>
                </c:pt>
                <c:pt idx="13">
                  <c:v>АгРЧП</c:v>
                </c:pt>
                <c:pt idx="14">
                  <c:v>Аг Стройнадзор</c:v>
                </c:pt>
                <c:pt idx="15">
                  <c:v>Минэк</c:v>
                </c:pt>
                <c:pt idx="16">
                  <c:v>Минагр</c:v>
                </c:pt>
                <c:pt idx="17">
                  <c:v>Мин имущ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ЗАГС</c:v>
                </c:pt>
                <c:pt idx="21">
                  <c:v>АГЗ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2.6818181818181817</c:v>
                </c:pt>
                <c:pt idx="1">
                  <c:v>2.7142857142857144</c:v>
                </c:pt>
                <c:pt idx="2">
                  <c:v>4.75</c:v>
                </c:pt>
                <c:pt idx="3">
                  <c:v>1</c:v>
                </c:pt>
                <c:pt idx="4">
                  <c:v>3.2972972972972974</c:v>
                </c:pt>
                <c:pt idx="5">
                  <c:v>4.375</c:v>
                </c:pt>
                <c:pt idx="6">
                  <c:v>5.0909090909090908</c:v>
                </c:pt>
                <c:pt idx="7">
                  <c:v>1.5</c:v>
                </c:pt>
                <c:pt idx="8">
                  <c:v>4.2</c:v>
                </c:pt>
                <c:pt idx="9">
                  <c:v>2.5</c:v>
                </c:pt>
                <c:pt idx="10">
                  <c:v>3</c:v>
                </c:pt>
                <c:pt idx="11">
                  <c:v>1.5</c:v>
                </c:pt>
                <c:pt idx="12">
                  <c:v>7.666666666666667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48800"/>
        <c:axId val="54366976"/>
      </c:lineChart>
      <c:catAx>
        <c:axId val="543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54347264"/>
        <c:crosses val="autoZero"/>
        <c:auto val="1"/>
        <c:lblAlgn val="ctr"/>
        <c:lblOffset val="100"/>
        <c:noMultiLvlLbl val="0"/>
      </c:catAx>
      <c:valAx>
        <c:axId val="5434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4345728"/>
        <c:crosses val="autoZero"/>
        <c:crossBetween val="between"/>
      </c:valAx>
      <c:catAx>
        <c:axId val="54348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366976"/>
        <c:crosses val="autoZero"/>
        <c:auto val="1"/>
        <c:lblAlgn val="ctr"/>
        <c:lblOffset val="100"/>
        <c:noMultiLvlLbl val="0"/>
      </c:catAx>
      <c:valAx>
        <c:axId val="5436697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434880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НМЦК</a:t>
            </a:r>
          </a:p>
        </c:rich>
      </c:tx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43753770537367E-3"/>
          <c:y val="0.20332787946961176"/>
          <c:w val="0.65415791313612226"/>
          <c:h val="0.79667212538603616"/>
        </c:manualLayout>
      </c:layout>
      <c:pie3DChart>
        <c:varyColors val="1"/>
        <c:ser>
          <c:idx val="0"/>
          <c:order val="0"/>
          <c:tx>
            <c:strRef>
              <c:f>гос!$O$10</c:f>
              <c:strCache>
                <c:ptCount val="1"/>
                <c:pt idx="0">
                  <c:v>Доля по сумме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0.15608838740009404"/>
                  <c:y val="1.9047619047619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733635701389863E-2"/>
                  <c:y val="-4.13852813852813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гос!$O$11:$O$12</c:f>
              <c:numCache>
                <c:formatCode>0%</c:formatCode>
                <c:ptCount val="2"/>
                <c:pt idx="0">
                  <c:v>0.97830303782844552</c:v>
                </c:pt>
                <c:pt idx="1">
                  <c:v>2.1696962171554361E-2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</a:t>
            </a:r>
          </a:p>
          <a:p>
            <a:pPr>
              <a:defRPr sz="1400"/>
            </a:pPr>
            <a:r>
              <a:rPr lang="ru-RU" sz="1400"/>
              <a:t>по количеству</a:t>
            </a:r>
          </a:p>
        </c:rich>
      </c:tx>
      <c:layout>
        <c:manualLayout>
          <c:xMode val="edge"/>
          <c:yMode val="edge"/>
          <c:x val="0.22509581213852692"/>
          <c:y val="6.9444444444444448E-2"/>
        </c:manualLayout>
      </c:layout>
      <c:overlay val="0"/>
    </c:title>
    <c:autoTitleDeleted val="0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гос!$P$10</c:f>
              <c:strCache>
                <c:ptCount val="1"/>
                <c:pt idx="0">
                  <c:v>Доля по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2.3440559440559439E-2"/>
                  <c:y val="4.91684693259496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34296936659141E-2"/>
                  <c:y val="-8.31239364310230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гос!$P$11:$P$12</c:f>
              <c:numCache>
                <c:formatCode>0%</c:formatCode>
                <c:ptCount val="2"/>
                <c:pt idx="0">
                  <c:v>0.39901823281907434</c:v>
                </c:pt>
                <c:pt idx="1">
                  <c:v>0.60098176718092566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сумме</a:t>
            </a:r>
          </a:p>
        </c:rich>
      </c:tx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всего!$E$2</c:f>
              <c:strCache>
                <c:ptCount val="1"/>
                <c:pt idx="0">
                  <c:v>Доля сумма</c:v>
                </c:pt>
              </c:strCache>
            </c:strRef>
          </c:tx>
          <c:dLbls>
            <c:dLbl>
              <c:idx val="0"/>
              <c:layout>
                <c:manualLayout>
                  <c:x val="-6.2631671041119844E-2"/>
                  <c:y val="5.37992125984251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950964952910298"/>
                  <c:y val="-1.35814511075388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всего!$E$3:$E$4</c:f>
              <c:numCache>
                <c:formatCode>0%</c:formatCode>
                <c:ptCount val="2"/>
                <c:pt idx="0">
                  <c:v>0.5510000579320139</c:v>
                </c:pt>
                <c:pt idx="1">
                  <c:v>0.4489999420679861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количеству</a:t>
            </a:r>
          </a:p>
        </c:rich>
      </c:tx>
      <c:overlay val="0"/>
    </c:title>
    <c:autoTitleDeleted val="0"/>
    <c:view3D>
      <c:rotX val="30"/>
      <c:rotY val="18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всего!$F$2</c:f>
              <c:strCache>
                <c:ptCount val="1"/>
                <c:pt idx="0">
                  <c:v>Доля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8.0257217847769027E-2"/>
                  <c:y val="-9.34386847477398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048775153105867E-2"/>
                  <c:y val="-1.29006270049577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всего!$F$3:$F$4</c:f>
              <c:numCache>
                <c:formatCode>0%</c:formatCode>
                <c:ptCount val="2"/>
                <c:pt idx="0">
                  <c:v>0.79354479688369506</c:v>
                </c:pt>
                <c:pt idx="1">
                  <c:v>0.20645520311630494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  <a:endParaRPr lang="ru-RU" sz="14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Минкульт</c:v>
                </c:pt>
                <c:pt idx="5">
                  <c:v>Минспорт</c:v>
                </c:pt>
                <c:pt idx="6">
                  <c:v>Мин имущ</c:v>
                </c:pt>
                <c:pt idx="7">
                  <c:v>Аг Стройнадзор</c:v>
                </c:pt>
                <c:pt idx="8">
                  <c:v>АгРЧП</c:v>
                </c:pt>
                <c:pt idx="9">
                  <c:v>Мин ЖКХ и Строй</c:v>
                </c:pt>
                <c:pt idx="10">
                  <c:v>Минэк</c:v>
                </c:pt>
                <c:pt idx="11">
                  <c:v>Минфин</c:v>
                </c:pt>
                <c:pt idx="12">
                  <c:v>Минтранс</c:v>
                </c:pt>
                <c:pt idx="13">
                  <c:v>Минприроды</c:v>
                </c:pt>
                <c:pt idx="14">
                  <c:v>Минагр</c:v>
                </c:pt>
                <c:pt idx="15">
                  <c:v>МинМол</c:v>
                </c:pt>
                <c:pt idx="16">
                  <c:v>Счетная палата</c:v>
                </c:pt>
                <c:pt idx="17">
                  <c:v>ЗакСобр</c:v>
                </c:pt>
                <c:pt idx="18">
                  <c:v>ЗАГС</c:v>
                </c:pt>
                <c:pt idx="19">
                  <c:v>АГЗ</c:v>
                </c:pt>
                <c:pt idx="20">
                  <c:v>АгСуд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30.221021610000001</c:v>
                </c:pt>
                <c:pt idx="1">
                  <c:v>18.511646129999999</c:v>
                </c:pt>
                <c:pt idx="2">
                  <c:v>4.7245367700000003</c:v>
                </c:pt>
                <c:pt idx="3">
                  <c:v>2.2317083599999998</c:v>
                </c:pt>
                <c:pt idx="4">
                  <c:v>0.56372743000000003</c:v>
                </c:pt>
                <c:pt idx="5">
                  <c:v>0.44851010999999996</c:v>
                </c:pt>
                <c:pt idx="6">
                  <c:v>0.32446911000000001</c:v>
                </c:pt>
                <c:pt idx="7">
                  <c:v>0.133411</c:v>
                </c:pt>
                <c:pt idx="8">
                  <c:v>0.11577657000000001</c:v>
                </c:pt>
                <c:pt idx="9">
                  <c:v>3.2648200000000002E-2</c:v>
                </c:pt>
                <c:pt idx="10">
                  <c:v>2.63189E-3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4691712"/>
        <c:axId val="54693248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150294651606987E-2"/>
                  <c:y val="2.690214471943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815626650272318E-2"/>
                  <c:y val="-3.1802638646874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770789161864E-2"/>
                  <c:y val="2.421528423755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363886195907193E-2"/>
                  <c:y val="2.6626139286665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64446861561E-2"/>
                  <c:y val="-2.800651582445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502817778408329E-2"/>
                  <c:y val="-2.8653381721627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4893423607334368E-2"/>
                  <c:y val="-3.159842956402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334344843531195E-2"/>
                  <c:y val="-3.0778623553919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9387576552930934E-2"/>
                  <c:y val="-3.534005004782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72069707503E-2"/>
                  <c:y val="-2.1627645961892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58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Минкульт</c:v>
                </c:pt>
                <c:pt idx="5">
                  <c:v>Минспорт</c:v>
                </c:pt>
                <c:pt idx="6">
                  <c:v>Мин имущ</c:v>
                </c:pt>
                <c:pt idx="7">
                  <c:v>Аг Стройнадзор</c:v>
                </c:pt>
                <c:pt idx="8">
                  <c:v>АгРЧП</c:v>
                </c:pt>
                <c:pt idx="9">
                  <c:v>Мин ЖКХ и Строй</c:v>
                </c:pt>
                <c:pt idx="10">
                  <c:v>Минэк</c:v>
                </c:pt>
                <c:pt idx="11">
                  <c:v>Минфин</c:v>
                </c:pt>
                <c:pt idx="12">
                  <c:v>Минтранс</c:v>
                </c:pt>
                <c:pt idx="13">
                  <c:v>Минприроды</c:v>
                </c:pt>
                <c:pt idx="14">
                  <c:v>Минагр</c:v>
                </c:pt>
                <c:pt idx="15">
                  <c:v>МинМол</c:v>
                </c:pt>
                <c:pt idx="16">
                  <c:v>Счетная палата</c:v>
                </c:pt>
                <c:pt idx="17">
                  <c:v>ЗакСобр</c:v>
                </c:pt>
                <c:pt idx="18">
                  <c:v>ЗАГС</c:v>
                </c:pt>
                <c:pt idx="19">
                  <c:v>АГЗ</c:v>
                </c:pt>
                <c:pt idx="20">
                  <c:v>АгСуд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2.6869565217391305</c:v>
                </c:pt>
                <c:pt idx="1">
                  <c:v>2.6355140186915889</c:v>
                </c:pt>
                <c:pt idx="2">
                  <c:v>2.0833333333333335</c:v>
                </c:pt>
                <c:pt idx="3">
                  <c:v>2.5</c:v>
                </c:pt>
                <c:pt idx="4">
                  <c:v>3.3333333333333335</c:v>
                </c:pt>
                <c:pt idx="5">
                  <c:v>4.5999999999999996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25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715520"/>
        <c:axId val="54717056"/>
      </c:lineChart>
      <c:catAx>
        <c:axId val="5469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54693248"/>
        <c:crosses val="autoZero"/>
        <c:auto val="1"/>
        <c:lblAlgn val="ctr"/>
        <c:lblOffset val="100"/>
        <c:noMultiLvlLbl val="0"/>
      </c:catAx>
      <c:valAx>
        <c:axId val="546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4691712"/>
        <c:crosses val="autoZero"/>
        <c:crossBetween val="between"/>
      </c:valAx>
      <c:catAx>
        <c:axId val="54715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717056"/>
        <c:crosses val="autoZero"/>
        <c:auto val="1"/>
        <c:lblAlgn val="ctr"/>
        <c:lblOffset val="100"/>
        <c:noMultiLvlLbl val="0"/>
      </c:catAx>
      <c:valAx>
        <c:axId val="5471705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471552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график!$D$3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график!$C$4:$C$26</c:f>
              <c:strCache>
                <c:ptCount val="23"/>
                <c:pt idx="0">
                  <c:v>Минкульт</c:v>
                </c:pt>
                <c:pt idx="1">
                  <c:v>Минспорт</c:v>
                </c:pt>
                <c:pt idx="2">
                  <c:v>Мин имущ</c:v>
                </c:pt>
                <c:pt idx="3">
                  <c:v>ЗакСобр</c:v>
                </c:pt>
                <c:pt idx="4">
                  <c:v>АгВет</c:v>
                </c:pt>
                <c:pt idx="5">
                  <c:v>Аг Стройнадзор</c:v>
                </c:pt>
                <c:pt idx="6">
                  <c:v>Минэк</c:v>
                </c:pt>
                <c:pt idx="7">
                  <c:v>Мин ЖКХ и Строй</c:v>
                </c:pt>
                <c:pt idx="8">
                  <c:v>Минпросв</c:v>
                </c:pt>
                <c:pt idx="9">
                  <c:v>АгСуд</c:v>
                </c:pt>
                <c:pt idx="10">
                  <c:v>Минтранс</c:v>
                </c:pt>
                <c:pt idx="11">
                  <c:v>Минсоц</c:v>
                </c:pt>
                <c:pt idx="12">
                  <c:v>Правительство</c:v>
                </c:pt>
                <c:pt idx="13">
                  <c:v>Минздрав</c:v>
                </c:pt>
                <c:pt idx="14">
                  <c:v>Минприроды</c:v>
                </c:pt>
                <c:pt idx="15">
                  <c:v>АГЗ</c:v>
                </c:pt>
                <c:pt idx="16">
                  <c:v>Минагр</c:v>
                </c:pt>
                <c:pt idx="17">
                  <c:v>МинМол</c:v>
                </c:pt>
                <c:pt idx="18">
                  <c:v>Счетная палата</c:v>
                </c:pt>
                <c:pt idx="19">
                  <c:v>АгРЧП</c:v>
                </c:pt>
                <c:pt idx="20">
                  <c:v>ЗАГС</c:v>
                </c:pt>
                <c:pt idx="21">
                  <c:v>Минфин</c:v>
                </c:pt>
                <c:pt idx="22">
                  <c:v>Аг цен и тарифов</c:v>
                </c:pt>
              </c:strCache>
            </c:strRef>
          </c:cat>
          <c:val>
            <c:numRef>
              <c:f>график!$D$4:$D$26</c:f>
              <c:numCache>
                <c:formatCode>0.00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99.520606817645756</c:v>
                </c:pt>
                <c:pt idx="7">
                  <c:v>98.911451794340195</c:v>
                </c:pt>
                <c:pt idx="8">
                  <c:v>86.320879527367495</c:v>
                </c:pt>
                <c:pt idx="9">
                  <c:v>64.835118467656088</c:v>
                </c:pt>
                <c:pt idx="10">
                  <c:v>63.840264028827832</c:v>
                </c:pt>
                <c:pt idx="11">
                  <c:v>61.212939202024863</c:v>
                </c:pt>
                <c:pt idx="12">
                  <c:v>59.10120034025649</c:v>
                </c:pt>
                <c:pt idx="13">
                  <c:v>40.093765534824641</c:v>
                </c:pt>
                <c:pt idx="14">
                  <c:v>34.924921647681245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267328"/>
        <c:axId val="125379712"/>
      </c:barChart>
      <c:lineChart>
        <c:grouping val="standard"/>
        <c:varyColors val="0"/>
        <c:ser>
          <c:idx val="1"/>
          <c:order val="1"/>
          <c:tx>
            <c:strRef>
              <c:f>график!$E$3</c:f>
              <c:strCache>
                <c:ptCount val="1"/>
                <c:pt idx="0">
                  <c:v>25%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график!$C$4:$C$26</c:f>
              <c:strCache>
                <c:ptCount val="23"/>
                <c:pt idx="0">
                  <c:v>Минкульт</c:v>
                </c:pt>
                <c:pt idx="1">
                  <c:v>Минспорт</c:v>
                </c:pt>
                <c:pt idx="2">
                  <c:v>Мин имущ</c:v>
                </c:pt>
                <c:pt idx="3">
                  <c:v>ЗакСобр</c:v>
                </c:pt>
                <c:pt idx="4">
                  <c:v>АгВет</c:v>
                </c:pt>
                <c:pt idx="5">
                  <c:v>Аг Стройнадзор</c:v>
                </c:pt>
                <c:pt idx="6">
                  <c:v>Минэк</c:v>
                </c:pt>
                <c:pt idx="7">
                  <c:v>Мин ЖКХ и Строй</c:v>
                </c:pt>
                <c:pt idx="8">
                  <c:v>Минпросв</c:v>
                </c:pt>
                <c:pt idx="9">
                  <c:v>АгСуд</c:v>
                </c:pt>
                <c:pt idx="10">
                  <c:v>Минтранс</c:v>
                </c:pt>
                <c:pt idx="11">
                  <c:v>Минсоц</c:v>
                </c:pt>
                <c:pt idx="12">
                  <c:v>Правительство</c:v>
                </c:pt>
                <c:pt idx="13">
                  <c:v>Минздрав</c:v>
                </c:pt>
                <c:pt idx="14">
                  <c:v>Минприроды</c:v>
                </c:pt>
                <c:pt idx="15">
                  <c:v>АГЗ</c:v>
                </c:pt>
                <c:pt idx="16">
                  <c:v>Минагр</c:v>
                </c:pt>
                <c:pt idx="17">
                  <c:v>МинМол</c:v>
                </c:pt>
                <c:pt idx="18">
                  <c:v>Счетная палата</c:v>
                </c:pt>
                <c:pt idx="19">
                  <c:v>АгРЧП</c:v>
                </c:pt>
                <c:pt idx="20">
                  <c:v>ЗАГС</c:v>
                </c:pt>
                <c:pt idx="21">
                  <c:v>Минфин</c:v>
                </c:pt>
                <c:pt idx="22">
                  <c:v>Аг цен и тарифов</c:v>
                </c:pt>
              </c:strCache>
            </c:strRef>
          </c:cat>
          <c:val>
            <c:numRef>
              <c:f>график!$E$4:$E$26</c:f>
              <c:numCache>
                <c:formatCode>General</c:formatCode>
                <c:ptCount val="2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700928"/>
        <c:axId val="126518400"/>
      </c:lineChart>
      <c:catAx>
        <c:axId val="12526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379712"/>
        <c:crosses val="autoZero"/>
        <c:auto val="1"/>
        <c:lblAlgn val="ctr"/>
        <c:lblOffset val="100"/>
        <c:noMultiLvlLbl val="0"/>
      </c:catAx>
      <c:valAx>
        <c:axId val="12537971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267328"/>
        <c:crosses val="autoZero"/>
        <c:crossBetween val="between"/>
        <c:majorUnit val="25"/>
      </c:valAx>
      <c:valAx>
        <c:axId val="126518400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126700928"/>
        <c:crosses val="max"/>
        <c:crossBetween val="between"/>
        <c:majorUnit val="15"/>
        <c:minorUnit val="3"/>
      </c:valAx>
      <c:catAx>
        <c:axId val="126700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6518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147827595930673"/>
          <c:y val="0.23009196720294103"/>
          <c:w val="0.56443547862302335"/>
          <c:h val="0.72463334656112288"/>
        </c:manualLayout>
      </c:layout>
      <c:doughnutChart>
        <c:varyColors val="1"/>
        <c:ser>
          <c:idx val="0"/>
          <c:order val="0"/>
          <c:explosion val="21"/>
          <c:dLbls>
            <c:dLbl>
              <c:idx val="0"/>
              <c:layout>
                <c:manualLayout>
                  <c:x val="0.15847860538827269"/>
                  <c:y val="6.125573287741489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13946117274174"/>
                  <c:y val="-5.308830182709291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4786053882726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0.95730044023847816</c:v>
                </c:pt>
                <c:pt idx="1">
                  <c:v>4.2699559761521663E-2</c:v>
                </c:pt>
                <c:pt idx="2">
                  <c:v>1.3160751445063451E-2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994794039174852"/>
          <c:y val="0.73514275158179665"/>
          <c:w val="0.32908440163987768"/>
          <c:h val="0.21507657382903086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588042588042586E-2"/>
          <c:y val="0.29852754182532437"/>
          <c:w val="0.57640379567938627"/>
          <c:h val="0.57388124077488123"/>
        </c:manualLayout>
      </c:layout>
      <c:doughnut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7.3481353292376914E-2"/>
                  <c:y val="0.10231916956326405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809852614577023"/>
                  <c:y val="-8.725024236835260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6953534654322114E-2"/>
                  <c:y val="-6.906906906906906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0.88500000000000001</c:v>
                </c:pt>
                <c:pt idx="1">
                  <c:v>0.105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060413602145883"/>
          <c:y val="0.71061092534753345"/>
          <c:w val="0.32022889446511493"/>
          <c:h val="0.22139210861909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2113674996580769E-2"/>
          <c:y val="0.17229317585301837"/>
          <c:w val="0.61204907526094121"/>
          <c:h val="0.72374803149606304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</c:dPt>
          <c:dPt>
            <c:idx val="1"/>
            <c:bubble3D val="0"/>
            <c:explosion val="11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0.11666666666666668"/>
                  <c:y val="9.722222222222222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000000000000002"/>
                  <c:y val="-6.944444444444446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399709201319272E-2"/>
                  <c:y val="-7.84883720930232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0.75831267268714109</c:v>
                </c:pt>
                <c:pt idx="1">
                  <c:v>0.241687327312859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442970262966606"/>
          <c:y val="0.65371443569553811"/>
          <c:w val="0.30865697813143333"/>
          <c:h val="0.1915708661417322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396611995552955E-2"/>
          <c:y val="0.23032755905511812"/>
          <c:w val="0.56624007151944433"/>
          <c:h val="0.6483448818897638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0"/>
          </c:dPt>
          <c:dLbls>
            <c:dLbl>
              <c:idx val="0"/>
              <c:layout>
                <c:manualLayout>
                  <c:x val="0.1265992997482861"/>
                  <c:y val="8.2474226804123696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79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0.70081967213114749</c:v>
                </c:pt>
                <c:pt idx="1">
                  <c:v>0.29918032786885246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42934589508194"/>
          <c:y val="0.65467900262467194"/>
          <c:w val="0.34210340519662119"/>
          <c:h val="0.21630839895013121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объем разм и ср. кол'!$C$3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5 214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Новоспасский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Мелекесский район</c:v>
                </c:pt>
                <c:pt idx="5">
                  <c:v>Новомалыклинский район</c:v>
                </c:pt>
                <c:pt idx="6">
                  <c:v>Сенгилеевский район</c:v>
                </c:pt>
                <c:pt idx="7">
                  <c:v>Цильнинский район</c:v>
                </c:pt>
                <c:pt idx="8">
                  <c:v>Майнский район</c:v>
                </c:pt>
                <c:pt idx="9">
                  <c:v>Инзенский район</c:v>
                </c:pt>
                <c:pt idx="10">
                  <c:v>Карсунский район</c:v>
                </c:pt>
                <c:pt idx="11">
                  <c:v>Кузоватовский район </c:v>
                </c:pt>
                <c:pt idx="12">
                  <c:v>Чердаклинский район</c:v>
                </c:pt>
                <c:pt idx="13">
                  <c:v>Ульяновский район</c:v>
                </c:pt>
                <c:pt idx="14">
                  <c:v>Старомайнский район</c:v>
                </c:pt>
                <c:pt idx="15">
                  <c:v>Павловский район</c:v>
                </c:pt>
                <c:pt idx="16">
                  <c:v>Радищевский район</c:v>
                </c:pt>
                <c:pt idx="17">
                  <c:v>Сурский район</c:v>
                </c:pt>
                <c:pt idx="18">
                  <c:v>Новоульяновск </c:v>
                </c:pt>
                <c:pt idx="19">
                  <c:v>Николаевский район </c:v>
                </c:pt>
                <c:pt idx="20">
                  <c:v>Вешкаймский район </c:v>
                </c:pt>
                <c:pt idx="21">
                  <c:v>Старокулаткинский район</c:v>
                </c:pt>
                <c:pt idx="22">
                  <c:v>Тереньгульский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кол'!$C$4:$C$27</c:f>
              <c:numCache>
                <c:formatCode>#,##0</c:formatCode>
                <c:ptCount val="24"/>
                <c:pt idx="0">
                  <c:v>1564.340463</c:v>
                </c:pt>
                <c:pt idx="1">
                  <c:v>545.76496999999995</c:v>
                </c:pt>
                <c:pt idx="2">
                  <c:v>346.80975345000002</c:v>
                </c:pt>
                <c:pt idx="3">
                  <c:v>311.50701700999997</c:v>
                </c:pt>
                <c:pt idx="4">
                  <c:v>242.69352696999994</c:v>
                </c:pt>
                <c:pt idx="5">
                  <c:v>150.55526790000002</c:v>
                </c:pt>
                <c:pt idx="6">
                  <c:v>146.83588999999998</c:v>
                </c:pt>
                <c:pt idx="7">
                  <c:v>91.521458999999993</c:v>
                </c:pt>
                <c:pt idx="8">
                  <c:v>91.314490000000006</c:v>
                </c:pt>
                <c:pt idx="9">
                  <c:v>90.16779292999999</c:v>
                </c:pt>
                <c:pt idx="10">
                  <c:v>85.273281560000001</c:v>
                </c:pt>
                <c:pt idx="11">
                  <c:v>81.056910000000002</c:v>
                </c:pt>
                <c:pt idx="12">
                  <c:v>80.24963000000001</c:v>
                </c:pt>
                <c:pt idx="13">
                  <c:v>76.598307150000011</c:v>
                </c:pt>
                <c:pt idx="14">
                  <c:v>75.651540000000011</c:v>
                </c:pt>
                <c:pt idx="15">
                  <c:v>62.740706000000003</c:v>
                </c:pt>
                <c:pt idx="16">
                  <c:v>51.088010000000004</c:v>
                </c:pt>
                <c:pt idx="17">
                  <c:v>49.972399999999993</c:v>
                </c:pt>
                <c:pt idx="18">
                  <c:v>47.663730000000001</c:v>
                </c:pt>
                <c:pt idx="19">
                  <c:v>45.570869999999992</c:v>
                </c:pt>
                <c:pt idx="20">
                  <c:v>38.288897179999999</c:v>
                </c:pt>
                <c:pt idx="21">
                  <c:v>34.251800000000003</c:v>
                </c:pt>
                <c:pt idx="22">
                  <c:v>32.882680000000001</c:v>
                </c:pt>
                <c:pt idx="23">
                  <c:v>17.674219999999998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9164544"/>
        <c:axId val="99166080"/>
      </c:barChart>
      <c:lineChart>
        <c:grouping val="standard"/>
        <c:varyColors val="0"/>
        <c:ser>
          <c:idx val="1"/>
          <c:order val="1"/>
          <c:tx>
            <c:strRef>
              <c:f>'График объем разм и ср. кол'!$D$3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5.4230425397835515E-3"/>
                  <c:y val="-1.9881235775760588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35340117502E-2"/>
                  <c:y val="3.4059304308365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180507892930679E-2"/>
                  <c:y val="-3.0200075500188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435183304825531E-2"/>
                  <c:y val="-2.4461070273192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826355525051525E-2"/>
                  <c:y val="-3.7750094375235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673776879468655E-2"/>
                  <c:y val="3.4143127352569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90253946465339E-2"/>
                  <c:y val="3.0200075500188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3708893800766325E-2"/>
                  <c:y val="2.860664500742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826944590059395E-2"/>
                  <c:y val="-3.397468861126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424764509103489E-2"/>
                  <c:y val="3.1039494921571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8025983711541889E-2"/>
                  <c:y val="-2.6593108477521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1180507892930679E-2"/>
                  <c:y val="-3.523342141688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7453671928620454E-2"/>
                  <c:y val="-3.0200075500188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1959154556606984E-2"/>
                  <c:y val="2.910978143587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7832647462277092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134895886802984E-5"/>
                  <c:y val="3.94305185238019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3547414328871211E-3"/>
                  <c:y val="5.95658838228460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6070612141224383E-2"/>
                  <c:y val="-3.6407538525407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0198066353579515E-2"/>
                  <c:y val="2.9109781435870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4709277503661389E-2"/>
                  <c:y val="-3.0787034972836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5.2161976664378863E-2"/>
                  <c:y val="-2.5166729583490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7406114386696856E-3"/>
                  <c:y val="1.9043089602474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4708304735758406E-2"/>
                  <c:y val="-4.2783440291934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Новоспасский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Мелекесский район</c:v>
                </c:pt>
                <c:pt idx="5">
                  <c:v>Новомалыклинский район</c:v>
                </c:pt>
                <c:pt idx="6">
                  <c:v>Сенгилеевский район</c:v>
                </c:pt>
                <c:pt idx="7">
                  <c:v>Цильнинский район</c:v>
                </c:pt>
                <c:pt idx="8">
                  <c:v>Майнский район</c:v>
                </c:pt>
                <c:pt idx="9">
                  <c:v>Инзенский район</c:v>
                </c:pt>
                <c:pt idx="10">
                  <c:v>Карсунский район</c:v>
                </c:pt>
                <c:pt idx="11">
                  <c:v>Кузоватовский район </c:v>
                </c:pt>
                <c:pt idx="12">
                  <c:v>Чердаклинский район</c:v>
                </c:pt>
                <c:pt idx="13">
                  <c:v>Ульяновский район</c:v>
                </c:pt>
                <c:pt idx="14">
                  <c:v>Старомайнский район</c:v>
                </c:pt>
                <c:pt idx="15">
                  <c:v>Павловский район</c:v>
                </c:pt>
                <c:pt idx="16">
                  <c:v>Радищевский район</c:v>
                </c:pt>
                <c:pt idx="17">
                  <c:v>Сурский район</c:v>
                </c:pt>
                <c:pt idx="18">
                  <c:v>Новоульяновск </c:v>
                </c:pt>
                <c:pt idx="19">
                  <c:v>Николаевский район </c:v>
                </c:pt>
                <c:pt idx="20">
                  <c:v>Вешкаймский район </c:v>
                </c:pt>
                <c:pt idx="21">
                  <c:v>Старокулаткинский район</c:v>
                </c:pt>
                <c:pt idx="22">
                  <c:v>Тереньгульский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кол'!$D$4:$D$27</c:f>
              <c:numCache>
                <c:formatCode>0.00</c:formatCode>
                <c:ptCount val="24"/>
                <c:pt idx="0">
                  <c:v>4.7823129251700678</c:v>
                </c:pt>
                <c:pt idx="1">
                  <c:v>1.4827586206896552</c:v>
                </c:pt>
                <c:pt idx="2">
                  <c:v>2.4117647058823528</c:v>
                </c:pt>
                <c:pt idx="3">
                  <c:v>3.1666666666666665</c:v>
                </c:pt>
                <c:pt idx="4">
                  <c:v>3.9629629629629628</c:v>
                </c:pt>
                <c:pt idx="5">
                  <c:v>2.6153846153846154</c:v>
                </c:pt>
                <c:pt idx="6">
                  <c:v>2.375</c:v>
                </c:pt>
                <c:pt idx="7">
                  <c:v>2.7272727272727271</c:v>
                </c:pt>
                <c:pt idx="8">
                  <c:v>3.4666666666666668</c:v>
                </c:pt>
                <c:pt idx="9">
                  <c:v>2.0833333333333335</c:v>
                </c:pt>
                <c:pt idx="10">
                  <c:v>1.4482758620689655</c:v>
                </c:pt>
                <c:pt idx="11">
                  <c:v>3</c:v>
                </c:pt>
                <c:pt idx="12">
                  <c:v>4.1428571428571432</c:v>
                </c:pt>
                <c:pt idx="13">
                  <c:v>4.8888888888888893</c:v>
                </c:pt>
                <c:pt idx="14">
                  <c:v>2</c:v>
                </c:pt>
                <c:pt idx="15">
                  <c:v>3.1851851851851851</c:v>
                </c:pt>
                <c:pt idx="16">
                  <c:v>1</c:v>
                </c:pt>
                <c:pt idx="17">
                  <c:v>2.2058823529411766</c:v>
                </c:pt>
                <c:pt idx="18">
                  <c:v>4.833333333333333</c:v>
                </c:pt>
                <c:pt idx="19">
                  <c:v>1.6842105263157894</c:v>
                </c:pt>
                <c:pt idx="20">
                  <c:v>2.7</c:v>
                </c:pt>
                <c:pt idx="21">
                  <c:v>1</c:v>
                </c:pt>
                <c:pt idx="22">
                  <c:v>1.6666666666666667</c:v>
                </c:pt>
                <c:pt idx="23">
                  <c:v>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167616"/>
        <c:axId val="99202176"/>
      </c:lineChart>
      <c:catAx>
        <c:axId val="991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99166080"/>
        <c:crosses val="autoZero"/>
        <c:auto val="1"/>
        <c:lblAlgn val="ctr"/>
        <c:lblOffset val="100"/>
        <c:noMultiLvlLbl val="0"/>
      </c:catAx>
      <c:valAx>
        <c:axId val="9916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99164544"/>
        <c:crosses val="autoZero"/>
        <c:crossBetween val="between"/>
      </c:valAx>
      <c:catAx>
        <c:axId val="9916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9202176"/>
        <c:crosses val="autoZero"/>
        <c:auto val="1"/>
        <c:lblAlgn val="ctr"/>
        <c:lblOffset val="100"/>
        <c:noMultiLvlLbl val="0"/>
      </c:catAx>
      <c:valAx>
        <c:axId val="9920217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Times New Roman" panose="02020603050405020304" pitchFamily="18" charset="0"/>
              </a:defRPr>
            </a:pPr>
            <a:endParaRPr lang="ru-RU"/>
          </a:p>
        </c:txPr>
        <c:crossAx val="99167616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муниципальных образований</a:t>
            </a:r>
          </a:p>
        </c:rich>
      </c:tx>
      <c:layout>
        <c:manualLayout>
          <c:xMode val="edge"/>
          <c:yMode val="edge"/>
          <c:x val="0.23477555551962576"/>
          <c:y val="2.28524998529969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'СМП данные и график'!$N$3</c:f>
              <c:strCache>
                <c:ptCount val="1"/>
                <c:pt idx="0">
                  <c:v>Доля размещено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'СМП данные и график'!$J$4:$J$27</c:f>
              <c:strCache>
                <c:ptCount val="24"/>
                <c:pt idx="0">
                  <c:v>Вешкаймский район </c:v>
                </c:pt>
                <c:pt idx="1">
                  <c:v>Майнский район</c:v>
                </c:pt>
                <c:pt idx="2">
                  <c:v>Старокулаткинский район</c:v>
                </c:pt>
                <c:pt idx="3">
                  <c:v>Чердаклинский район</c:v>
                </c:pt>
                <c:pt idx="4">
                  <c:v>Цильнинский район</c:v>
                </c:pt>
                <c:pt idx="5">
                  <c:v>Павловский район</c:v>
                </c:pt>
                <c:pt idx="6">
                  <c:v>Тереньгульский район</c:v>
                </c:pt>
                <c:pt idx="7">
                  <c:v>Кузоватовский район </c:v>
                </c:pt>
                <c:pt idx="8">
                  <c:v>Барышский район</c:v>
                </c:pt>
                <c:pt idx="9">
                  <c:v>Базарносызганский район</c:v>
                </c:pt>
                <c:pt idx="10">
                  <c:v>Старомайнский район</c:v>
                </c:pt>
                <c:pt idx="11">
                  <c:v>Новоспасский район</c:v>
                </c:pt>
                <c:pt idx="12">
                  <c:v>Ульяновский район</c:v>
                </c:pt>
                <c:pt idx="13">
                  <c:v>Сурский район</c:v>
                </c:pt>
                <c:pt idx="14">
                  <c:v>Сенгилеевский район</c:v>
                </c:pt>
                <c:pt idx="15">
                  <c:v>Карсунский район</c:v>
                </c:pt>
                <c:pt idx="16">
                  <c:v>Мелекесский район</c:v>
                </c:pt>
                <c:pt idx="17">
                  <c:v>Новомалыклинский район</c:v>
                </c:pt>
                <c:pt idx="18">
                  <c:v>Новоульяновск </c:v>
                </c:pt>
                <c:pt idx="19">
                  <c:v>Димитровград </c:v>
                </c:pt>
                <c:pt idx="20">
                  <c:v>Инзенский район</c:v>
                </c:pt>
                <c:pt idx="21">
                  <c:v>Ульяновск </c:v>
                </c:pt>
                <c:pt idx="22">
                  <c:v>Николаевский район </c:v>
                </c:pt>
                <c:pt idx="23">
                  <c:v>Радищевский район</c:v>
                </c:pt>
              </c:strCache>
            </c:strRef>
          </c:cat>
          <c:val>
            <c:numRef>
              <c:f>'СМП данные и график'!$N$4:$N$27</c:f>
              <c:numCache>
                <c:formatCode>0</c:formatCode>
                <c:ptCount val="24"/>
                <c:pt idx="0">
                  <c:v>100.00014201418723</c:v>
                </c:pt>
                <c:pt idx="1">
                  <c:v>100</c:v>
                </c:pt>
                <c:pt idx="2">
                  <c:v>100</c:v>
                </c:pt>
                <c:pt idx="3">
                  <c:v>75.239098112776574</c:v>
                </c:pt>
                <c:pt idx="4">
                  <c:v>73.457682044620341</c:v>
                </c:pt>
                <c:pt idx="5">
                  <c:v>72.531486080418716</c:v>
                </c:pt>
                <c:pt idx="6">
                  <c:v>65.262525808388645</c:v>
                </c:pt>
                <c:pt idx="7">
                  <c:v>64.14998880134938</c:v>
                </c:pt>
                <c:pt idx="8">
                  <c:v>59.945823736467275</c:v>
                </c:pt>
                <c:pt idx="9">
                  <c:v>54.473942969518198</c:v>
                </c:pt>
                <c:pt idx="10">
                  <c:v>47.319058178498672</c:v>
                </c:pt>
                <c:pt idx="11">
                  <c:v>45.766305231794391</c:v>
                </c:pt>
                <c:pt idx="12">
                  <c:v>42.508518455066344</c:v>
                </c:pt>
                <c:pt idx="13">
                  <c:v>39.510870131149673</c:v>
                </c:pt>
                <c:pt idx="14">
                  <c:v>37.505065841098087</c:v>
                </c:pt>
                <c:pt idx="15">
                  <c:v>36.651323711894761</c:v>
                </c:pt>
                <c:pt idx="16">
                  <c:v>30.671548252793357</c:v>
                </c:pt>
                <c:pt idx="17">
                  <c:v>24.033131984929721</c:v>
                </c:pt>
                <c:pt idx="18">
                  <c:v>13.222094062804324</c:v>
                </c:pt>
                <c:pt idx="19">
                  <c:v>7.0022508276759456</c:v>
                </c:pt>
                <c:pt idx="20">
                  <c:v>1.2897193009964387</c:v>
                </c:pt>
                <c:pt idx="21">
                  <c:v>1.1198843630145707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53440"/>
        <c:axId val="105454976"/>
      </c:barChart>
      <c:lineChart>
        <c:grouping val="standard"/>
        <c:varyColors val="0"/>
        <c:ser>
          <c:idx val="1"/>
          <c:order val="1"/>
          <c:tx>
            <c:strRef>
              <c:f>'СМП данные и график'!$O$3</c:f>
              <c:strCache>
                <c:ptCount val="1"/>
                <c:pt idx="0">
                  <c:v>Обязательный минимум (25%)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'СМП данные и график'!$J$4:$J$27</c:f>
              <c:strCache>
                <c:ptCount val="24"/>
                <c:pt idx="0">
                  <c:v>Вешкаймский район </c:v>
                </c:pt>
                <c:pt idx="1">
                  <c:v>Майнский район</c:v>
                </c:pt>
                <c:pt idx="2">
                  <c:v>Старокулаткинский район</c:v>
                </c:pt>
                <c:pt idx="3">
                  <c:v>Чердаклинский район</c:v>
                </c:pt>
                <c:pt idx="4">
                  <c:v>Цильнинский район</c:v>
                </c:pt>
                <c:pt idx="5">
                  <c:v>Павловский район</c:v>
                </c:pt>
                <c:pt idx="6">
                  <c:v>Тереньгульский район</c:v>
                </c:pt>
                <c:pt idx="7">
                  <c:v>Кузоватовский район </c:v>
                </c:pt>
                <c:pt idx="8">
                  <c:v>Барышский район</c:v>
                </c:pt>
                <c:pt idx="9">
                  <c:v>Базарносызганский район</c:v>
                </c:pt>
                <c:pt idx="10">
                  <c:v>Старомайнский район</c:v>
                </c:pt>
                <c:pt idx="11">
                  <c:v>Новоспасский район</c:v>
                </c:pt>
                <c:pt idx="12">
                  <c:v>Ульяновский район</c:v>
                </c:pt>
                <c:pt idx="13">
                  <c:v>Сурский район</c:v>
                </c:pt>
                <c:pt idx="14">
                  <c:v>Сенгилеевский район</c:v>
                </c:pt>
                <c:pt idx="15">
                  <c:v>Карсунский район</c:v>
                </c:pt>
                <c:pt idx="16">
                  <c:v>Мелекесский район</c:v>
                </c:pt>
                <c:pt idx="17">
                  <c:v>Новомалыклинский район</c:v>
                </c:pt>
                <c:pt idx="18">
                  <c:v>Новоульяновск </c:v>
                </c:pt>
                <c:pt idx="19">
                  <c:v>Димитровград </c:v>
                </c:pt>
                <c:pt idx="20">
                  <c:v>Инзенский район</c:v>
                </c:pt>
                <c:pt idx="21">
                  <c:v>Ульяновск </c:v>
                </c:pt>
                <c:pt idx="22">
                  <c:v>Николаевский район </c:v>
                </c:pt>
                <c:pt idx="23">
                  <c:v>Радищевский район</c:v>
                </c:pt>
              </c:strCache>
            </c:strRef>
          </c:cat>
          <c:val>
            <c:numRef>
              <c:f>'СМП данные и график'!$O$4:$O$27</c:f>
              <c:numCache>
                <c:formatCode>0.00</c:formatCode>
                <c:ptCount val="2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53440"/>
        <c:axId val="105454976"/>
      </c:lineChart>
      <c:catAx>
        <c:axId val="10545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 b="1"/>
            </a:pPr>
            <a:endParaRPr lang="ru-RU"/>
          </a:p>
        </c:txPr>
        <c:crossAx val="105454976"/>
        <c:crossesAt val="0"/>
        <c:auto val="1"/>
        <c:lblAlgn val="ctr"/>
        <c:lblOffset val="100"/>
        <c:noMultiLvlLbl val="0"/>
      </c:catAx>
      <c:valAx>
        <c:axId val="105454976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545344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0.06481</cdr:x>
      <cdr:y>0.36447</cdr:y>
    </cdr:from>
    <cdr:to>
      <cdr:x>0.08957</cdr:x>
      <cdr:y>0.40033</cdr:y>
    </cdr:to>
    <cdr:sp macro="" textlink="">
      <cdr:nvSpPr>
        <cdr:cNvPr id="2" name="Волна 1"/>
        <cdr:cNvSpPr/>
      </cdr:nvSpPr>
      <cdr:spPr>
        <a:xfrm xmlns:a="http://schemas.openxmlformats.org/drawingml/2006/main">
          <a:off x="619126" y="2089902"/>
          <a:ext cx="236532" cy="205623"/>
        </a:xfrm>
        <a:prstGeom xmlns:a="http://schemas.openxmlformats.org/drawingml/2006/main" prst="wav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0.00412</cdr:x>
      <cdr:y>0.13779</cdr:y>
    </cdr:from>
    <cdr:to>
      <cdr:x>0.05353</cdr:x>
      <cdr:y>0.24538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8100" y="695325"/>
          <a:ext cx="457200" cy="5429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0A81-A754-4512-89F8-B1165F4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Гайнутдинов Дамир Рамильевич</cp:lastModifiedBy>
  <cp:revision>102</cp:revision>
  <cp:lastPrinted>2023-03-16T13:42:00Z</cp:lastPrinted>
  <dcterms:created xsi:type="dcterms:W3CDTF">2022-07-21T11:48:00Z</dcterms:created>
  <dcterms:modified xsi:type="dcterms:W3CDTF">2023-03-17T05:45:00Z</dcterms:modified>
</cp:coreProperties>
</file>