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3E" w:rsidRDefault="002534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5343E" w:rsidRDefault="0025343E">
      <w:pPr>
        <w:pStyle w:val="ConsPlusNormal"/>
        <w:ind w:firstLine="540"/>
        <w:jc w:val="both"/>
        <w:outlineLvl w:val="0"/>
      </w:pPr>
    </w:p>
    <w:p w:rsidR="0025343E" w:rsidRDefault="0025343E">
      <w:pPr>
        <w:pStyle w:val="ConsPlusTitle"/>
        <w:jc w:val="center"/>
      </w:pPr>
      <w:r>
        <w:t>АРБИТРАЖНЫЙ СУД СЕВЕРО-ЗАПАДНОГО ОКРУГА</w:t>
      </w:r>
    </w:p>
    <w:p w:rsidR="0025343E" w:rsidRDefault="0025343E">
      <w:pPr>
        <w:pStyle w:val="ConsPlusTitle"/>
        <w:jc w:val="center"/>
      </w:pPr>
    </w:p>
    <w:p w:rsidR="0025343E" w:rsidRDefault="0025343E">
      <w:pPr>
        <w:pStyle w:val="ConsPlusTitle"/>
        <w:jc w:val="center"/>
      </w:pPr>
      <w:r>
        <w:t>ПОСТАНОВЛЕНИЕ</w:t>
      </w:r>
    </w:p>
    <w:p w:rsidR="0025343E" w:rsidRDefault="0025343E">
      <w:pPr>
        <w:pStyle w:val="ConsPlusTitle"/>
        <w:jc w:val="center"/>
      </w:pPr>
      <w:r>
        <w:t>от 9 марта 2023 г. по делу N А05-14727/2020</w:t>
      </w:r>
    </w:p>
    <w:p w:rsidR="0025343E" w:rsidRDefault="0025343E">
      <w:pPr>
        <w:pStyle w:val="ConsPlusNormal"/>
        <w:ind w:firstLine="540"/>
        <w:jc w:val="both"/>
      </w:pPr>
    </w:p>
    <w:p w:rsidR="0025343E" w:rsidRDefault="0025343E">
      <w:pPr>
        <w:pStyle w:val="ConsPlusNormal"/>
        <w:ind w:firstLine="540"/>
        <w:jc w:val="both"/>
      </w:pPr>
      <w:r>
        <w:t>Резолютивная часть постановления объявлена 09 марта 2023 года.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Полный текст постановления изготовлен 09 марта 2023 года.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Арбитражный суд Северо-Западного округа в составе председательствующего Константинова П.Ю., судей Дмитриева В.В., Малышевой Н.Н., при участии от общества с ограниченной ответственностью "Тракхолдинг" Ильиной К.И. (доверенность от 06.12.2022), рассмотрев 09.03.2023 в открытом судебном заседании кассационную жалобу муниципального казенного учреждения "Управление по инфраструктурному развитию и жилищно-коммунальному хозяйству администрации муниципального образования "Онежский муниципальный район" на </w:t>
      </w:r>
      <w:hyperlink r:id="rId5">
        <w:r>
          <w:rPr>
            <w:color w:val="0000FF"/>
          </w:rPr>
          <w:t>решение</w:t>
        </w:r>
      </w:hyperlink>
      <w:r>
        <w:t xml:space="preserve"> Арбитражного суда Архангельской области от 08.08.2022 и </w:t>
      </w:r>
      <w:hyperlink r:id="rId6">
        <w:r>
          <w:rPr>
            <w:color w:val="0000FF"/>
          </w:rPr>
          <w:t>постановление</w:t>
        </w:r>
      </w:hyperlink>
      <w:r>
        <w:t xml:space="preserve"> Четырнадцатого арбитражного апелляционного суда от 03.11.2022 по делу N А05-14727/2020,</w:t>
      </w:r>
    </w:p>
    <w:p w:rsidR="0025343E" w:rsidRDefault="0025343E">
      <w:pPr>
        <w:pStyle w:val="ConsPlusNormal"/>
        <w:jc w:val="center"/>
      </w:pPr>
    </w:p>
    <w:p w:rsidR="0025343E" w:rsidRDefault="0025343E">
      <w:pPr>
        <w:pStyle w:val="ConsPlusNormal"/>
        <w:jc w:val="center"/>
      </w:pPr>
      <w:r>
        <w:t>установил:</w:t>
      </w:r>
    </w:p>
    <w:p w:rsidR="0025343E" w:rsidRDefault="0025343E">
      <w:pPr>
        <w:pStyle w:val="ConsPlusNormal"/>
        <w:jc w:val="center"/>
      </w:pPr>
    </w:p>
    <w:p w:rsidR="0025343E" w:rsidRDefault="0025343E">
      <w:pPr>
        <w:pStyle w:val="ConsPlusNormal"/>
        <w:ind w:firstLine="540"/>
        <w:jc w:val="both"/>
      </w:pPr>
      <w:r>
        <w:t>Муниципальное казенное учреждение "Управление по инфраструктурному развитию и жилищно-коммунальному хозяйству администрации муниципального образования "Онежский муниципальный район" (в настоящее время - муниципальное казенное учреждение "Управление по инфраструктурному развитию, строительству и архитектуре администрации муниципального образования "Онежский муниципальный район"), адрес: 164840, Архангельская область, Онежский район, город Онега, улица Шаревского, дом 6, ОГРН 1122920001160, ИНН 2906007873 (далее - Учреждение), обратилось в Арбитражный суд Архангельской области с иском к обществу с ограниченной ответственностью "Тракхолдинг", адрес: 163020, Архангельская область, город Архангельск, улица Терехина, дом 5, этаж 1, ОГРН 1192901010004, ИНН 2901299598 (далее - Общество), о взыскании 61 163 руб. 78 коп. штрафа и неустойки в связи с неисполнением обязательств по муниципальному контракту на выполнение работ по благоустройству территории сквера в рамках реализации проекта "Формирование комфортной городской среды" от 18.02.2020 N 7-2020.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Общество предъявило встречный иск о взыскании с Учреждения 1 310 450 руб. 67 коп. стоимости выполненных работ по контракту (с учетом уточнения иска, принятого судом в порядке </w:t>
      </w:r>
      <w:hyperlink r:id="rId7">
        <w:r>
          <w:rPr>
            <w:color w:val="0000FF"/>
          </w:rPr>
          <w:t>статьи 49</w:t>
        </w:r>
      </w:hyperlink>
      <w:r>
        <w:t xml:space="preserve"> Арбитражного процессуального кодекса Российской Федерации; далее - АПК РФ).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К участию в деле в качестве третьих лиц, не заявляющих самостоятельных требований относительно предмета спора, привлечены: индивидуальный предприниматель Малышев Михаил Иванович, адрес: Московская область, ОГРНИП 317502700019279, ИНН 500201441087, индивидуальный предприниматель Букурова Елена Томовна, адрес: Ростовская область, город Таганрог, ОГРНИП 319619600099075, ИНН 615430928307 (деятельность прекращена 09.07.2022).</w:t>
      </w:r>
    </w:p>
    <w:p w:rsidR="0025343E" w:rsidRDefault="0025343E">
      <w:pPr>
        <w:pStyle w:val="ConsPlusNormal"/>
        <w:spacing w:before="240"/>
        <w:ind w:firstLine="540"/>
        <w:jc w:val="both"/>
      </w:pPr>
      <w:hyperlink r:id="rId8">
        <w:r>
          <w:rPr>
            <w:color w:val="0000FF"/>
          </w:rPr>
          <w:t>Решением</w:t>
        </w:r>
      </w:hyperlink>
      <w:r>
        <w:t xml:space="preserve"> суда первой инстанции от 08.08.2022, оставленным без изменения </w:t>
      </w:r>
      <w:hyperlink r:id="rId9">
        <w:r>
          <w:rPr>
            <w:color w:val="0000FF"/>
          </w:rPr>
          <w:t>постановлением</w:t>
        </w:r>
      </w:hyperlink>
      <w:r>
        <w:t xml:space="preserve"> апелляционного суда от 03.11.2022, в удовлетворении первоначального иска отказано; встречный иск удовлетворен.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lastRenderedPageBreak/>
        <w:t xml:space="preserve">В кассационной жалобе Учреждение, ссылаясь на нарушение судами первой и апелляционной инстанций норм материального и процессуального права и несоответствие их выводов фактическим обстоятельствам дела и имеющимся в нем доказательствам, просит решение и </w:t>
      </w:r>
      <w:hyperlink r:id="rId10">
        <w:r>
          <w:rPr>
            <w:color w:val="0000FF"/>
          </w:rPr>
          <w:t>постановление</w:t>
        </w:r>
      </w:hyperlink>
      <w:r>
        <w:t xml:space="preserve"> отменить.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По мнению подателя жалобы, правовые основания для удовлетворения встречного иска Общества отсутствуют, поскольку спорные работы выполнены подрядчиком с недостатками.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В отзыве на кассационную жалобу Общество просит жалобу отклонить.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В судебном заседании представитель Общества просил жалобу отклонить.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Другие участвующие в деле лица о времени и месте рассмотрения жалобы извещены надлежащим образом, однако своих представителей в судебное заседание не направили, что не является препятствием для рассмотрения жалобы в их отсутствие.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Как следует из материалов дела, по результатам электронного аукциона Учреждение (заказчик) и Общество (подрядчик) заключили контракт от 18.02.2020 N 7-2020, по условиям которого подрядчик обязался по заданию заказчика в рамках реализации проекта "Формирование комфортной городской среды" выполнить работы по благоустройству территории сквера по адресу: Архангельская область, Онежский район, город Онега, проспект Ленина (у дома N 90), в соответствии с техническим заданием (приложение N 1) и локальным сметным расчетом (приложение N 2 к контракту), а заказчик обязался принять результат работ и оплатить их в порядке и на условиях, предусмотренных муниципальным контрактом.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Цена контракта составляет 1 310 450 руб. 67 коп. (пункт 2.1 контракта).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Сроки выполнения работ согласованы в пункте 1.3 контракта: с даты заключения контракта до 01.08.2020 (включительно).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Согласно пункту 3.3 контракта оплата выполненных работ производится в течение 15 рабочих дней со дня подписания акта приемки выполненных работ и предъявления счета-фактуры на основании оформленных между сторонами документов, подтверждающих объемы и стоимость выполненных работ (акта о приемке выполненных работ формы N КС-2, справки о стоимости выполненных работ и затрат формы N КС-3, счета (счета-фактуры) на оплату выполненных работ).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В соответствии с пунктом 5.4 контракта подрядчик обязан: выполнить работы в срок, указанный в пункте 1.3 контракта, в полном объеме, в соответствии с техническим заданием, своевременно устранять недостатки и дефекты, выявленные при приемке работ, и представить заказчику отчетную документацию по итогам исполнения контракта (пункт 5.4.1 контракта); предоставить заказчику к установленному контрактом сроку результаты выполненных работ, предусмотренных контрактом (пункт 5.4.2 контракта); обеспечивать соответствие результатов работ требованиям качества, безопасности жизни и здоровья, государственным стандартам и т.п., установленным действующим законодательством Российской Федерации (пункт 5.4.3 контракта); приостановить выполнение работ в случае обнаружения независящих от подрядчика обстоятельств, которые могут оказать негативное влияние на годность или прочность результатов выполненных работ или создать невозможность их завершения в установленный контрактом срок, и сообщить об этом заказчику в течение 3 дней после приостановления выполнения работ (пункт 5.4.4 контракта).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lastRenderedPageBreak/>
        <w:t>Пунктом 7.4 контракта предусмотрена ответственность подрядчика за каждый факт неисполнения или ненадлежащего исполнения обязательств, предусмотренных контрактом, за исключением просрочки исполнения обязательств (в том числе, гарантийного обязательства), в виде штрафа в размере 1% цены контракта (этапа), но не более 5000 руб. и не менее 1000 руб.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Пунктом 7.16 контракта установлено, что в случае просрочки исполнения подрядчиком обязательств (в том числе, гарантийного обязательства),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 Пеня начисляется за каждый день просрочки исполнения подрядчиком обязательства, предусмотренного контрактом, в размере одной трехсотой действующей на дату уплаты пеней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Подрядчик направил заказчику акт (КС-2) от 28.09.2020 N 1 и справку (КС-3) от 28.09.2020 N 1 о выполнении работ по контракту на сумму 1 310 450 руб. 67 коп.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Приемочная комиссия заказчика выявила недостатки в выполненных работах, зафиксировав их в акте от 30.09.2020, определила срок для устранения замечаний - 10 дней с момента получения данного акта.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В своем ответе на претензию, направленном заказчику 22.10.2020, Общество согласилось с частью выявленных Учреждением недостатков, обязавшись устранить их в назначенный срок; часть замечаний подрядчик посчитал необоснованными.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Согласно акту от 26.10.2020 с перечнем повторно выявленных недостатков выполненные работы в полном объеме не соответствуют техническому заданию контракта. Кроме того, в нарушение условий контракта при предъявлении работ на приемочную комиссию Обществом не представлены документы, подтверждающие объемы и стоимость используемых при исполнении контракта материалов.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Поскольку работы выполнены подрядчиком с существенным нарушением обязательств, предусмотренных контрактом, недостатки в выполненных работах Обществом не устранены, Учреждение направило в его адрес уведомление от 26.10.2020 N 1773 с решением об одностороннем отказе от исполнения контракта.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Претензией от 04.12.2020 N 2058 Учреждение потребовало от подрядчика уплаты 21 163 руб. 78 коп. неустойки за 114 дней просрочки выполнения работ и 40 000 руб. штрафа.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Поскольку претензия не удовлетворена, Учреждение обратилось в суд с настоящим иском.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Общество обратилось со встречным иском о взыскании с Учреждения 1 310 450 руб. 67 коп. стоимости выполненных работ.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Суды признали встречный иск Общества обоснованным по праву и размеру, отказав Учреждению в удовлетворении первоначальных исковых требований.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Отказывая Учреждению в первоначальном иске, суд первой инстанции, с которым согласился апелляционный суд, исходил из наличия оснований для списания начисленной неустойки в порядке, установленном </w:t>
      </w:r>
      <w:hyperlink r:id="rId11">
        <w:r>
          <w:rPr>
            <w:color w:val="0000FF"/>
          </w:rPr>
          <w:t>подпунктом "а" пункта 3</w:t>
        </w:r>
      </w:hyperlink>
      <w:r>
        <w:t xml:space="preserve"> "Правил осуществления </w:t>
      </w:r>
      <w:r>
        <w:lastRenderedPageBreak/>
        <w:t xml:space="preserve">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контрактом", утвержденных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04.07.2018 N 783.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В указанной части судебные акты сторонами не обжалуются.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Суд округа, изучив материалы дела и доводы жалобы, проверив правильность применения судами норм материального и процессуального права, не находит оснований для удовлетворения кассационной жалобы в силу следующего.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Сложившиеся между сторонами правоотношения регулируются положениями </w:t>
      </w:r>
      <w:hyperlink r:id="rId13">
        <w:r>
          <w:rPr>
            <w:color w:val="0000FF"/>
          </w:rPr>
          <w:t>главы 37</w:t>
        </w:r>
      </w:hyperlink>
      <w:r>
        <w:t xml:space="preserve"> Гражданского кодекса Российской Федерации (далее - ГК РФ) 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пунктом 1 статьи 740</w:t>
        </w:r>
      </w:hyperlink>
      <w:r>
        <w:t xml:space="preserve"> ГК РФ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цену.</w:t>
      </w:r>
    </w:p>
    <w:p w:rsidR="0025343E" w:rsidRDefault="0025343E">
      <w:pPr>
        <w:pStyle w:val="ConsPlusNormal"/>
        <w:spacing w:before="240"/>
        <w:ind w:firstLine="540"/>
        <w:jc w:val="both"/>
      </w:pPr>
      <w:hyperlink r:id="rId16">
        <w:r>
          <w:rPr>
            <w:color w:val="0000FF"/>
          </w:rPr>
          <w:t>Пунктом 1 статьи 746</w:t>
        </w:r>
      </w:hyperlink>
      <w:r>
        <w:t xml:space="preserve"> ГК РФ предусмотрено, что оплата выполненных подрядчиком работ производится заказчиком в размере, предусмотренном сметой, в сроки и в порядке, которые установлены законом или договором строительного подряда. При отсутствии соответствующих указаний в законе или договоре оплата работ производится в соответствии со </w:t>
      </w:r>
      <w:hyperlink r:id="rId17">
        <w:r>
          <w:rPr>
            <w:color w:val="0000FF"/>
          </w:rPr>
          <w:t>статьей 711</w:t>
        </w:r>
      </w:hyperlink>
      <w:r>
        <w:t xml:space="preserve"> ГК РФ.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8">
        <w:r>
          <w:rPr>
            <w:color w:val="0000FF"/>
          </w:rPr>
          <w:t>пункту 1 статьи 763</w:t>
        </w:r>
      </w:hyperlink>
      <w:r>
        <w:t xml:space="preserve"> ГК РФ подрядные строительные работы (</w:t>
      </w:r>
      <w:hyperlink r:id="rId19">
        <w:r>
          <w:rPr>
            <w:color w:val="0000FF"/>
          </w:rPr>
          <w:t>статья 740</w:t>
        </w:r>
      </w:hyperlink>
      <w:r>
        <w:t xml:space="preserve"> ГК РФ), проектные и изыскательские работы (</w:t>
      </w:r>
      <w:hyperlink r:id="rId20">
        <w:r>
          <w:rPr>
            <w:color w:val="0000FF"/>
          </w:rPr>
          <w:t>статья 758</w:t>
        </w:r>
      </w:hyperlink>
      <w:r>
        <w:t xml:space="preserve"> ГК РФ), предназначенные для удовлетворения государственных или муниципальных нужд, осуществляются на основе государственного или муниципального контракта на выполнение подрядных работ для государственных или муниципальных нужд.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1">
        <w:r>
          <w:rPr>
            <w:color w:val="0000FF"/>
          </w:rPr>
          <w:t>пунктом 2 статьи 763</w:t>
        </w:r>
      </w:hyperlink>
      <w:r>
        <w:t xml:space="preserve"> ГК РФ по государственному или муниципальному контракту на выполнение подрядных работ для государственных или муниципальных нужд подрядчик обязуется выполнить строительные,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заказчику, а государственный или муниципальный заказчик обязуется принять выполненные работы и оплатить их или обеспечить их оплату.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22">
        <w:r>
          <w:rPr>
            <w:color w:val="0000FF"/>
          </w:rPr>
          <w:t>пункту 4 статьи 753</w:t>
        </w:r>
      </w:hyperlink>
      <w:r>
        <w:t xml:space="preserve"> ГК РФ сдача результата работ подрядчиком и приемка его заказчиком оформляются актом, подписанным обеими сторонами; при отказе одной из сторон от подписания акта в нем делается отметка об этом и акт подписывается другой стороной.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Односторонний акт сдачи или приемки результата работ может быть признан судом недействительным лишь в случае, если мотивы отказа от подписания акта признаны им обоснованными.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По смыслу указанных норм основанием для оплаты выполненных работ является фактическое выполнение предусмотренных договором подряда работ и их передача </w:t>
      </w:r>
      <w:r>
        <w:lastRenderedPageBreak/>
        <w:t>заказчику.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(</w:t>
      </w:r>
      <w:hyperlink r:id="rId23">
        <w:r>
          <w:rPr>
            <w:color w:val="0000FF"/>
          </w:rPr>
          <w:t>пункт 5 статьи 720</w:t>
        </w:r>
      </w:hyperlink>
      <w:r>
        <w:t xml:space="preserve"> ГК РФ).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4">
        <w:r>
          <w:rPr>
            <w:color w:val="0000FF"/>
          </w:rPr>
          <w:t>частью 1 статьи 82</w:t>
        </w:r>
      </w:hyperlink>
      <w:r>
        <w:t xml:space="preserve"> АПК РФ для разъяснения возникающих при рассмотрении дела вопросов, требующих специальных знаний, арбитражный суд назначает экспертизу по ходатайству лица, участвующего в деле, или с согласия лиц, участвующих в деле. В случае если назначение экспертизы предписано законом или предусмотрено договором либо необходимо для проверки заявления о фальсификации представленного доказательства, либо если необходимо проведение дополнительной или повторной экспертизы, арбитражный суд может назначить экспертизу по своей инициативе.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Судебная экспертиза назначается судом в случаях, когда вопросы права нельзя разрешить без оценки фактов, для установления которых требуются специальные познания.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На основании </w:t>
      </w:r>
      <w:hyperlink r:id="rId25">
        <w:r>
          <w:rPr>
            <w:color w:val="0000FF"/>
          </w:rPr>
          <w:t>части 2 статьи 64</w:t>
        </w:r>
      </w:hyperlink>
      <w:r>
        <w:t xml:space="preserve">, </w:t>
      </w:r>
      <w:hyperlink r:id="rId26">
        <w:r>
          <w:rPr>
            <w:color w:val="0000FF"/>
          </w:rPr>
          <w:t>части 3 статьи 86</w:t>
        </w:r>
      </w:hyperlink>
      <w:r>
        <w:t xml:space="preserve"> АПК РФ заключения экспертов являются одним из доказательств по делу и оцениваются наряду с другими доказательствами.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7">
        <w:r>
          <w:rPr>
            <w:color w:val="0000FF"/>
          </w:rPr>
          <w:t>частью 2 статьи 87</w:t>
        </w:r>
      </w:hyperlink>
      <w:r>
        <w:t xml:space="preserve"> АПК РФ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экспертиза, проведение которой поручается другому эксперту или другой комиссии экспертов.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В связи с наличием между сторонами спора относительно качества и соответствия контракту выполненных работ судом первой инстанции были назначены судебная строительно-техническая и повторная судебная экспертизы.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Исследовав и оценив в соответствии со </w:t>
      </w:r>
      <w:hyperlink r:id="rId28">
        <w:r>
          <w:rPr>
            <w:color w:val="0000FF"/>
          </w:rPr>
          <w:t>статьей 71</w:t>
        </w:r>
      </w:hyperlink>
      <w:r>
        <w:t xml:space="preserve"> АПК РФ представленные в материалы дела доказательства, в том числе спорный контракт, акт приемки работ формы КС-2, подписанный Обществом, комиссионные акты выявленных недостатков, заключения судебной строительно-технической и повторной судебной строительной экспертиз, заслушав пояснения эксперта в судебном заседании, применив к спорным отношениям названные нормы материального права, с учетом правовой позиции Президиума Высшего Арбитражного Суда Российской Федерации, изложенной в </w:t>
      </w:r>
      <w:hyperlink r:id="rId29">
        <w:r>
          <w:rPr>
            <w:color w:val="0000FF"/>
          </w:rPr>
          <w:t>постановлении</w:t>
        </w:r>
      </w:hyperlink>
      <w:r>
        <w:t xml:space="preserve"> от 27.03.2012 N 12888/11, суд первой инстанции, с которым согласился апелляционный суд, пришел к выводу о наличии оснований для удовлетворения встречного иска, указав, что наличие устранимых недостатков не освобождает заказчика от обязанности оплатить выполненные работы, а предоставляет заказчику право предъявить требования, предусмотренные </w:t>
      </w:r>
      <w:hyperlink r:id="rId30">
        <w:r>
          <w:rPr>
            <w:color w:val="0000FF"/>
          </w:rPr>
          <w:t>статьей 723</w:t>
        </w:r>
      </w:hyperlink>
      <w:r>
        <w:t xml:space="preserve"> ГК РФ, которыми заказчик не воспользовался.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>Переоценка доказательств в полномочия суда кассационной инстанции не входит (</w:t>
      </w:r>
      <w:hyperlink r:id="rId31">
        <w:r>
          <w:rPr>
            <w:color w:val="0000FF"/>
          </w:rPr>
          <w:t>статьи 286</w:t>
        </w:r>
      </w:hyperlink>
      <w:r>
        <w:t xml:space="preserve"> и </w:t>
      </w:r>
      <w:hyperlink r:id="rId32">
        <w:r>
          <w:rPr>
            <w:color w:val="0000FF"/>
          </w:rPr>
          <w:t>287</w:t>
        </w:r>
      </w:hyperlink>
      <w:r>
        <w:t xml:space="preserve"> АПК РФ, </w:t>
      </w:r>
      <w:hyperlink r:id="rId33">
        <w:r>
          <w:rPr>
            <w:color w:val="0000FF"/>
          </w:rPr>
          <w:t>пункт 32</w:t>
        </w:r>
      </w:hyperlink>
      <w:r>
        <w:t xml:space="preserve"> постановления Пленума Верховного Суда Российской Федерации от 30.06.2020 N 13 "О применении Арбитражного процессуального кодекса Российской Федерации при рассмотрении дел в арбитражном суде кассационной инстанции").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При рассмотрении дела и вынесении обжалуемых судебных актов суды установили все существенные для дела обстоятельства и дали им надлежащую правовую оценку, выводы судов основаны на всестороннем и полном исследовании доказательств по делу, нормы материального права применены правильно. Нарушений норм процессуального </w:t>
      </w:r>
      <w:r>
        <w:lastRenderedPageBreak/>
        <w:t xml:space="preserve">права, которые могли явиться основанием для отмены обжалуемых решения и </w:t>
      </w:r>
      <w:hyperlink r:id="rId34">
        <w:r>
          <w:rPr>
            <w:color w:val="0000FF"/>
          </w:rPr>
          <w:t>постановления</w:t>
        </w:r>
      </w:hyperlink>
      <w:r>
        <w:t>, кассационной инстанцией не установлено.</w:t>
      </w:r>
    </w:p>
    <w:p w:rsidR="0025343E" w:rsidRDefault="0025343E">
      <w:pPr>
        <w:pStyle w:val="ConsPlusNormal"/>
        <w:spacing w:before="240"/>
        <w:ind w:firstLine="540"/>
        <w:jc w:val="both"/>
      </w:pPr>
      <w:r>
        <w:t xml:space="preserve">Руководствуясь </w:t>
      </w:r>
      <w:hyperlink r:id="rId35">
        <w:r>
          <w:rPr>
            <w:color w:val="0000FF"/>
          </w:rPr>
          <w:t>статьями 286</w:t>
        </w:r>
      </w:hyperlink>
      <w:r>
        <w:t xml:space="preserve">, </w:t>
      </w:r>
      <w:hyperlink r:id="rId36">
        <w:r>
          <w:rPr>
            <w:color w:val="0000FF"/>
          </w:rPr>
          <w:t>287</w:t>
        </w:r>
      </w:hyperlink>
      <w:r>
        <w:t xml:space="preserve"> и </w:t>
      </w:r>
      <w:hyperlink r:id="rId37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Арбитражный суд Северо-Западного округа</w:t>
      </w:r>
    </w:p>
    <w:p w:rsidR="0025343E" w:rsidRDefault="0025343E">
      <w:pPr>
        <w:pStyle w:val="ConsPlusNormal"/>
        <w:jc w:val="center"/>
      </w:pPr>
    </w:p>
    <w:p w:rsidR="0025343E" w:rsidRDefault="0025343E">
      <w:pPr>
        <w:pStyle w:val="ConsPlusNormal"/>
        <w:jc w:val="center"/>
      </w:pPr>
      <w:r>
        <w:t>постановил:</w:t>
      </w:r>
    </w:p>
    <w:p w:rsidR="0025343E" w:rsidRDefault="0025343E">
      <w:pPr>
        <w:pStyle w:val="ConsPlusNormal"/>
        <w:jc w:val="center"/>
      </w:pPr>
    </w:p>
    <w:p w:rsidR="0025343E" w:rsidRDefault="0025343E">
      <w:pPr>
        <w:pStyle w:val="ConsPlusNormal"/>
        <w:ind w:firstLine="540"/>
        <w:jc w:val="both"/>
      </w:pPr>
      <w:hyperlink r:id="rId38">
        <w:r>
          <w:rPr>
            <w:color w:val="0000FF"/>
          </w:rPr>
          <w:t>решение</w:t>
        </w:r>
      </w:hyperlink>
      <w:r>
        <w:t xml:space="preserve"> Арбитражного суда Архангельской области от 08.08.2022 и </w:t>
      </w:r>
      <w:hyperlink r:id="rId39">
        <w:r>
          <w:rPr>
            <w:color w:val="0000FF"/>
          </w:rPr>
          <w:t>постановление</w:t>
        </w:r>
      </w:hyperlink>
      <w:r>
        <w:t xml:space="preserve"> Четырнадцатого арбитражного апелляционного суда от 03.11.2022 по делу N А05-14727/2020 оставить без изменения, а кассационную жалобу муниципального казенного учреждения "Управление по инфраструктурному развитию и жилищно-коммунальному хозяйству администрации муниципального образования "Онежский муниципальный район" - без удовлетворения.</w:t>
      </w:r>
    </w:p>
    <w:p w:rsidR="0025343E" w:rsidRDefault="0025343E">
      <w:pPr>
        <w:pStyle w:val="ConsPlusNormal"/>
        <w:ind w:firstLine="540"/>
        <w:jc w:val="both"/>
      </w:pPr>
    </w:p>
    <w:p w:rsidR="0025343E" w:rsidRDefault="0025343E">
      <w:pPr>
        <w:pStyle w:val="ConsPlusNormal"/>
        <w:jc w:val="right"/>
      </w:pPr>
      <w:r>
        <w:t>Председательствующий</w:t>
      </w:r>
    </w:p>
    <w:p w:rsidR="0025343E" w:rsidRDefault="0025343E">
      <w:pPr>
        <w:pStyle w:val="ConsPlusNormal"/>
        <w:jc w:val="right"/>
      </w:pPr>
      <w:r>
        <w:t>П.Ю.КОНСТАНТИНОВ</w:t>
      </w:r>
    </w:p>
    <w:p w:rsidR="0025343E" w:rsidRDefault="0025343E">
      <w:pPr>
        <w:pStyle w:val="ConsPlusNormal"/>
        <w:jc w:val="right"/>
      </w:pPr>
    </w:p>
    <w:p w:rsidR="0025343E" w:rsidRDefault="0025343E">
      <w:pPr>
        <w:pStyle w:val="ConsPlusNormal"/>
        <w:jc w:val="right"/>
      </w:pPr>
      <w:r>
        <w:t>Судьи</w:t>
      </w:r>
    </w:p>
    <w:p w:rsidR="0025343E" w:rsidRDefault="0025343E">
      <w:pPr>
        <w:pStyle w:val="ConsPlusNormal"/>
        <w:jc w:val="right"/>
      </w:pPr>
      <w:r>
        <w:t>В.В.ДМИТРИЕВ</w:t>
      </w:r>
    </w:p>
    <w:p w:rsidR="0025343E" w:rsidRDefault="0025343E">
      <w:pPr>
        <w:pStyle w:val="ConsPlusNormal"/>
        <w:jc w:val="right"/>
      </w:pPr>
      <w:r>
        <w:t>Н.Н.МАЛЫШЕВА</w:t>
      </w:r>
    </w:p>
    <w:p w:rsidR="0025343E" w:rsidRDefault="0025343E">
      <w:pPr>
        <w:pStyle w:val="ConsPlusNormal"/>
        <w:ind w:firstLine="540"/>
        <w:jc w:val="both"/>
      </w:pPr>
    </w:p>
    <w:p w:rsidR="0025343E" w:rsidRDefault="0025343E">
      <w:pPr>
        <w:pStyle w:val="ConsPlusNormal"/>
        <w:ind w:firstLine="540"/>
        <w:jc w:val="both"/>
      </w:pPr>
    </w:p>
    <w:p w:rsidR="0025343E" w:rsidRDefault="002534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6C5" w:rsidRDefault="00CE06C5">
      <w:bookmarkStart w:id="0" w:name="_GoBack"/>
      <w:bookmarkEnd w:id="0"/>
    </w:p>
    <w:sectPr w:rsidR="00CE06C5" w:rsidSect="0005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3E"/>
    <w:rsid w:val="0025343E"/>
    <w:rsid w:val="00C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305D-5357-40AE-B79B-A84C7942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43E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2534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34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3542C301EA042707DE692FD65433EBA7529F53D9ABBF098014936D927BC66F17ABE42AC74A88A945C1CED58202EADz2H" TargetMode="External"/><Relationship Id="rId13" Type="http://schemas.openxmlformats.org/officeDocument/2006/relationships/hyperlink" Target="consultantplus://offline/ref=C563542C301EA042707DEB80F904166DB4702DF1379FB5A1CF031863D722B436B96AE207F978AB8988574BA21E7521D2C4E27A64CC821617A3zFH" TargetMode="External"/><Relationship Id="rId18" Type="http://schemas.openxmlformats.org/officeDocument/2006/relationships/hyperlink" Target="consultantplus://offline/ref=C563542C301EA042707DEB80F904166DB4702DF1379FB5A1CF031863D722B436B96AE207F97BA38D82574BA21E7521D2C4E27A64CC821617A3zFH" TargetMode="External"/><Relationship Id="rId26" Type="http://schemas.openxmlformats.org/officeDocument/2006/relationships/hyperlink" Target="consultantplus://offline/ref=C563542C301EA042707DEB80F904166DB37528F13C9BB5A1CF031863D722B436B96AE207F979AE8A8D574BA21E7521D2C4E27A64CC821617A3zFH" TargetMode="External"/><Relationship Id="rId39" Type="http://schemas.openxmlformats.org/officeDocument/2006/relationships/hyperlink" Target="consultantplus://offline/ref=C563542C301EA042707DF580FE6C4861B37C74FC3498B9F192501E348872B263F92AE452A83DFE86895D01F3593E2ED1C7AFz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63542C301EA042707DEB80F904166DB4702DF1379FB5A1CF031863D722B436B96AE207F97BA38D83574BA21E7521D2C4E27A64CC821617A3zFH" TargetMode="External"/><Relationship Id="rId34" Type="http://schemas.openxmlformats.org/officeDocument/2006/relationships/hyperlink" Target="consultantplus://offline/ref=C563542C301EA042707DF580FE6C4861B37C74FC3498B9F192501E348872B263F92AE452A83DFE86895D01F3593E2ED1C7AFzFH" TargetMode="External"/><Relationship Id="rId7" Type="http://schemas.openxmlformats.org/officeDocument/2006/relationships/hyperlink" Target="consultantplus://offline/ref=C563542C301EA042707DEB80F904166DB37528F13C9BB5A1CF031863D722B436B96AE207F979A98388574BA21E7521D2C4E27A64CC821617A3zFH" TargetMode="External"/><Relationship Id="rId12" Type="http://schemas.openxmlformats.org/officeDocument/2006/relationships/hyperlink" Target="consultantplus://offline/ref=C563542C301EA042707DEB80F904166DB37628F7359DB5A1CF031863D722B436AB6ABA0BFA78B58B89421DF358A2z3H" TargetMode="External"/><Relationship Id="rId17" Type="http://schemas.openxmlformats.org/officeDocument/2006/relationships/hyperlink" Target="consultantplus://offline/ref=C563542C301EA042707DEB80F904166DB4702DF1379FB5A1CF031863D722B436B96AE207F978AB8D8C574BA21E7521D2C4E27A64CC821617A3zFH" TargetMode="External"/><Relationship Id="rId25" Type="http://schemas.openxmlformats.org/officeDocument/2006/relationships/hyperlink" Target="consultantplus://offline/ref=C563542C301EA042707DEB80F904166DB37528F13C9BB5A1CF031863D722B436B96AE203FA7FA0DFDB184AFE592132D1C6E27867D0A8z3H" TargetMode="External"/><Relationship Id="rId33" Type="http://schemas.openxmlformats.org/officeDocument/2006/relationships/hyperlink" Target="consultantplus://offline/ref=C563542C301EA042707DEB80F904166DB4722CF5379EB5A1CF031863D722B436B96AE207F979AA888E574BA21E7521D2C4E27A64CC821617A3zFH" TargetMode="External"/><Relationship Id="rId38" Type="http://schemas.openxmlformats.org/officeDocument/2006/relationships/hyperlink" Target="consultantplus://offline/ref=C563542C301EA042707DE692FD65433EBA7529F53D9ABBF098014936D927BC66F17ABE42AC74A88A945C1CED58202EADz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63542C301EA042707DEB80F904166DB4702DF1379FB5A1CF031863D722B436B96AE207F978A98B89574BA21E7521D2C4E27A64CC821617A3zFH" TargetMode="External"/><Relationship Id="rId20" Type="http://schemas.openxmlformats.org/officeDocument/2006/relationships/hyperlink" Target="consultantplus://offline/ref=C563542C301EA042707DEB80F904166DB4702DF1379FB5A1CF031863D722B436B96AE207F978A98E8A574BA21E7521D2C4E27A64CC821617A3zFH" TargetMode="External"/><Relationship Id="rId29" Type="http://schemas.openxmlformats.org/officeDocument/2006/relationships/hyperlink" Target="consultantplus://offline/ref=C563542C301EA042707DE693EC04166DB57F2AF93798B5A1CF031863D722B436AB6ABA0BFA78B58B89421DF358A2z3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3542C301EA042707DF580FE6C4861B37C74FC3498B9F192501E348872B263F92AE452A83DFE86895D01F3593E2ED1C7AFzFH" TargetMode="External"/><Relationship Id="rId11" Type="http://schemas.openxmlformats.org/officeDocument/2006/relationships/hyperlink" Target="consultantplus://offline/ref=C563542C301EA042707DEB80F904166DB37628F7359DB5A1CF031863D722B436B96AE207F979AB8382574BA21E7521D2C4E27A64CC821617A3zFH" TargetMode="External"/><Relationship Id="rId24" Type="http://schemas.openxmlformats.org/officeDocument/2006/relationships/hyperlink" Target="consultantplus://offline/ref=C563542C301EA042707DEB80F904166DB37528F13C9BB5A1CF031863D722B436B96AE207F979AF838F574BA21E7521D2C4E27A64CC821617A3zFH" TargetMode="External"/><Relationship Id="rId32" Type="http://schemas.openxmlformats.org/officeDocument/2006/relationships/hyperlink" Target="consultantplus://offline/ref=C563542C301EA042707DEB80F904166DB37528F13C9BB5A1CF031863D722B436B96AE207F978A3838C574BA21E7521D2C4E27A64CC821617A3zFH" TargetMode="External"/><Relationship Id="rId37" Type="http://schemas.openxmlformats.org/officeDocument/2006/relationships/hyperlink" Target="consultantplus://offline/ref=C563542C301EA042707DEB80F904166DB37528F13C9BB5A1CF031863D722B436B96AE207F978A28A8A574BA21E7521D2C4E27A64CC821617A3zF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563542C301EA042707DE692FD65433EBA7529F53D9ABBF098014936D927BC66F17ABE42AC74A88A945C1CED58202EADz2H" TargetMode="External"/><Relationship Id="rId15" Type="http://schemas.openxmlformats.org/officeDocument/2006/relationships/hyperlink" Target="consultantplus://offline/ref=C563542C301EA042707DEB80F904166DB4702DF1379FB5A1CF031863D722B436B96AE207F978AA8C8E574BA21E7521D2C4E27A64CC821617A3zFH" TargetMode="External"/><Relationship Id="rId23" Type="http://schemas.openxmlformats.org/officeDocument/2006/relationships/hyperlink" Target="consultantplus://offline/ref=C563542C301EA042707DEB80F904166DB4702DF1379FB5A1CF031863D722B436B96AE207F978AA8B88574BA21E7521D2C4E27A64CC821617A3zFH" TargetMode="External"/><Relationship Id="rId28" Type="http://schemas.openxmlformats.org/officeDocument/2006/relationships/hyperlink" Target="consultantplus://offline/ref=C563542C301EA042707DEB80F904166DB37528F13C9BB5A1CF031863D722B436B96AE207F979AF8A83574BA21E7521D2C4E27A64CC821617A3zFH" TargetMode="External"/><Relationship Id="rId36" Type="http://schemas.openxmlformats.org/officeDocument/2006/relationships/hyperlink" Target="consultantplus://offline/ref=C563542C301EA042707DEB80F904166DB37528F13C9BB5A1CF031863D722B436B96AE207F978A3838C574BA21E7521D2C4E27A64CC821617A3zFH" TargetMode="External"/><Relationship Id="rId10" Type="http://schemas.openxmlformats.org/officeDocument/2006/relationships/hyperlink" Target="consultantplus://offline/ref=C563542C301EA042707DF580FE6C4861B37C74FC3498B9F192501E348872B263F92AE452A83DFE86895D01F3593E2ED1C7AFzFH" TargetMode="External"/><Relationship Id="rId19" Type="http://schemas.openxmlformats.org/officeDocument/2006/relationships/hyperlink" Target="consultantplus://offline/ref=C563542C301EA042707DEB80F904166DB4702DF1379FB5A1CF031863D722B436B96AE207F978AA8C89574BA21E7521D2C4E27A64CC821617A3zFH" TargetMode="External"/><Relationship Id="rId31" Type="http://schemas.openxmlformats.org/officeDocument/2006/relationships/hyperlink" Target="consultantplus://offline/ref=C563542C301EA042707DEB80F904166DB37528F13C9BB5A1CF031863D722B436B96AE207F978A38388574BA21E7521D2C4E27A64CC821617A3z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63542C301EA042707DF580FE6C4861B37C74FC3498B9F192501E348872B263F92AE452A83DFE86895D01F3593E2ED1C7AFzFH" TargetMode="External"/><Relationship Id="rId14" Type="http://schemas.openxmlformats.org/officeDocument/2006/relationships/hyperlink" Target="consultantplus://offline/ref=C563542C301EA042707DEB80F904166DB3752BF9329FB5A1CF031863D722B436AB6ABA0BFA78B58B89421DF358A2z3H" TargetMode="External"/><Relationship Id="rId22" Type="http://schemas.openxmlformats.org/officeDocument/2006/relationships/hyperlink" Target="consultantplus://offline/ref=C563542C301EA042707DEB80F904166DB4702DF1379FB5A1CF031863D722B436B96AE207F978A9888A574BA21E7521D2C4E27A64CC821617A3zFH" TargetMode="External"/><Relationship Id="rId27" Type="http://schemas.openxmlformats.org/officeDocument/2006/relationships/hyperlink" Target="consultantplus://offline/ref=C563542C301EA042707DEB80F904166DB37528F13C9BB5A1CF031863D722B436B96AE207F979AE8988574BA21E7521D2C4E27A64CC821617A3zFH" TargetMode="External"/><Relationship Id="rId30" Type="http://schemas.openxmlformats.org/officeDocument/2006/relationships/hyperlink" Target="consultantplus://offline/ref=C563542C301EA042707DEB80F904166DB4702DF1379FB5A1CF031863D722B436B96AE207F978AA8A88574BA21E7521D2C4E27A64CC821617A3zFH" TargetMode="External"/><Relationship Id="rId35" Type="http://schemas.openxmlformats.org/officeDocument/2006/relationships/hyperlink" Target="consultantplus://offline/ref=C563542C301EA042707DEB80F904166DB37528F13C9BB5A1CF031863D722B436B96AE207F978A38388574BA21E7521D2C4E27A64CC821617A3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2023-03-31T07:50:00Z</dcterms:created>
  <dcterms:modified xsi:type="dcterms:W3CDTF">2023-03-31T07:51:00Z</dcterms:modified>
</cp:coreProperties>
</file>