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9B" w:rsidRDefault="00086F9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6F9B" w:rsidRDefault="00086F9B">
      <w:pPr>
        <w:pStyle w:val="ConsPlusNormal"/>
        <w:jc w:val="both"/>
        <w:outlineLvl w:val="0"/>
      </w:pPr>
    </w:p>
    <w:p w:rsidR="00086F9B" w:rsidRDefault="00086F9B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086F9B" w:rsidRDefault="00086F9B">
      <w:pPr>
        <w:pStyle w:val="ConsPlusTitle"/>
        <w:jc w:val="center"/>
      </w:pPr>
    </w:p>
    <w:p w:rsidR="00086F9B" w:rsidRDefault="00086F9B">
      <w:pPr>
        <w:pStyle w:val="ConsPlusTitle"/>
        <w:jc w:val="center"/>
      </w:pPr>
      <w:r>
        <w:t>ПИСЬМО</w:t>
      </w:r>
    </w:p>
    <w:p w:rsidR="00086F9B" w:rsidRDefault="00086F9B">
      <w:pPr>
        <w:pStyle w:val="ConsPlusTitle"/>
        <w:jc w:val="center"/>
      </w:pPr>
      <w:r>
        <w:t>от 2 марта 2023 г. N 6853-ТИ/Д13и</w:t>
      </w:r>
    </w:p>
    <w:p w:rsidR="00086F9B" w:rsidRDefault="00086F9B">
      <w:pPr>
        <w:pStyle w:val="ConsPlusTitle"/>
        <w:jc w:val="center"/>
      </w:pPr>
    </w:p>
    <w:p w:rsidR="00086F9B" w:rsidRDefault="00086F9B">
      <w:pPr>
        <w:pStyle w:val="ConsPlusTitle"/>
        <w:jc w:val="center"/>
      </w:pPr>
      <w:r>
        <w:t>ОБ УСИЛЕНИИ</w:t>
      </w:r>
    </w:p>
    <w:p w:rsidR="00086F9B" w:rsidRDefault="00086F9B">
      <w:pPr>
        <w:pStyle w:val="ConsPlusTitle"/>
        <w:jc w:val="center"/>
      </w:pPr>
      <w:r>
        <w:t>ВЗАИМОДЕЙСТВИЯ КРУПНОГО БИЗНЕСА С СУБЪЕКТАМИ МАЛОГО</w:t>
      </w:r>
    </w:p>
    <w:p w:rsidR="00086F9B" w:rsidRDefault="00086F9B">
      <w:pPr>
        <w:pStyle w:val="ConsPlusTitle"/>
        <w:jc w:val="center"/>
      </w:pPr>
      <w:r>
        <w:t>И СРЕДНЕГО ПРЕДПРИНИМАТЕЛЬСТВА В СУБЪЕКТАХ</w:t>
      </w:r>
    </w:p>
    <w:p w:rsidR="00086F9B" w:rsidRDefault="00086F9B">
      <w:pPr>
        <w:pStyle w:val="ConsPlusTitle"/>
        <w:jc w:val="center"/>
      </w:pPr>
      <w:r>
        <w:t>РОССИЙСКОЙ ФЕДЕРАЦИИ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В соответствии с указанным поручением Правительства Российской Федерации об усилении взаимодействия крупного бизнеса с субъектами малого и среднего предпринимательства (далее - МСП) в субъектах Российской Федерации Минэкономразвития России сообщает.</w:t>
      </w:r>
    </w:p>
    <w:p w:rsidR="00086F9B" w:rsidRDefault="00086F9B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поручением Правительства Российской Федерации от 21 июля 2021 г. N АБ-13-159пр (п. 4) Минэкономразвития России совместно с членами рабочей группы (в рабочую группу входят представители РСПП, ОПОРЫ РОССИИ, ТПП России, Деловой России) разработаны и утверждены </w:t>
      </w:r>
      <w:hyperlink w:anchor="P35">
        <w:r>
          <w:rPr>
            <w:color w:val="0000FF"/>
          </w:rPr>
          <w:t>Декларация</w:t>
        </w:r>
      </w:hyperlink>
      <w:r>
        <w:t xml:space="preserve"> о взаимодействии крупного бизнеса с субъектами МСП (далее - Декларация) и </w:t>
      </w:r>
      <w:hyperlink w:anchor="P126">
        <w:r>
          <w:rPr>
            <w:color w:val="0000FF"/>
          </w:rPr>
          <w:t>Стандарт</w:t>
        </w:r>
      </w:hyperlink>
      <w:r>
        <w:t xml:space="preserve"> по реализации положений Декларации (далее - Стандарт).</w:t>
      </w:r>
      <w:proofErr w:type="gramEnd"/>
    </w:p>
    <w:p w:rsidR="00086F9B" w:rsidRDefault="005F6F60">
      <w:pPr>
        <w:pStyle w:val="ConsPlusNormal"/>
        <w:spacing w:before="200"/>
        <w:ind w:firstLine="540"/>
        <w:jc w:val="both"/>
      </w:pPr>
      <w:hyperlink w:anchor="P35">
        <w:r w:rsidR="00086F9B">
          <w:rPr>
            <w:color w:val="0000FF"/>
          </w:rPr>
          <w:t>Декларация</w:t>
        </w:r>
      </w:hyperlink>
      <w:r w:rsidR="00086F9B">
        <w:t xml:space="preserve"> является документом, который определяет принципы взаимодействия крупного бизнеса с субъектами МСП и определяет области, в которых крупный бизнес может оказывать поддержку малому и среднему бизнесу.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 xml:space="preserve">Положения </w:t>
      </w:r>
      <w:hyperlink w:anchor="P35">
        <w:r>
          <w:rPr>
            <w:color w:val="0000FF"/>
          </w:rPr>
          <w:t>Декларации</w:t>
        </w:r>
      </w:hyperlink>
      <w:r>
        <w:t xml:space="preserve"> формировались на основе лучших российских и международных практик взаимодействия крупного бизнеса с субъектами МСП и отражают приверженность принципам ответственной и добросовестной корпоративной практики.</w:t>
      </w:r>
    </w:p>
    <w:p w:rsidR="00086F9B" w:rsidRDefault="005F6F60">
      <w:pPr>
        <w:pStyle w:val="ConsPlusNormal"/>
        <w:spacing w:before="200"/>
        <w:ind w:firstLine="540"/>
        <w:jc w:val="both"/>
      </w:pPr>
      <w:hyperlink w:anchor="P35">
        <w:r w:rsidR="00086F9B">
          <w:rPr>
            <w:color w:val="0000FF"/>
          </w:rPr>
          <w:t>Декларация</w:t>
        </w:r>
      </w:hyperlink>
      <w:r w:rsidR="00086F9B">
        <w:t xml:space="preserve"> определяет 5 областей взаимодействия крупного и малого бизнеса: доступ на рынки; модернизация производственных и административных процессов; доступ к инфраструктуре; доступ к финансированию; развитие человеческого капитала и компетенций.</w:t>
      </w:r>
    </w:p>
    <w:p w:rsidR="00086F9B" w:rsidRDefault="005F6F60">
      <w:pPr>
        <w:pStyle w:val="ConsPlusNormal"/>
        <w:spacing w:before="200"/>
        <w:ind w:firstLine="540"/>
        <w:jc w:val="both"/>
      </w:pPr>
      <w:hyperlink w:anchor="P126">
        <w:r w:rsidR="00086F9B">
          <w:rPr>
            <w:color w:val="0000FF"/>
          </w:rPr>
          <w:t>Стандарт</w:t>
        </w:r>
      </w:hyperlink>
      <w:r w:rsidR="00086F9B">
        <w:t xml:space="preserve"> реализации положений Декларации является неотъемлемой частью </w:t>
      </w:r>
      <w:hyperlink w:anchor="P35">
        <w:r w:rsidR="00086F9B">
          <w:rPr>
            <w:color w:val="0000FF"/>
          </w:rPr>
          <w:t>Декларации</w:t>
        </w:r>
      </w:hyperlink>
      <w:r w:rsidR="00086F9B">
        <w:t xml:space="preserve">, определяет требования по раскрытию информации о взаимодействии, качественные и количественные элементы раскрытия, оценку раскрываемой информации в рамках областей взаимодействия крупного бизнеса с МСП, а также методы оценки результатов деятельности организаций по применению принципов </w:t>
      </w:r>
      <w:hyperlink w:anchor="P35">
        <w:r w:rsidR="00086F9B">
          <w:rPr>
            <w:color w:val="0000FF"/>
          </w:rPr>
          <w:t>Декларации</w:t>
        </w:r>
      </w:hyperlink>
      <w:r w:rsidR="00086F9B">
        <w:t>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 xml:space="preserve">Присоединение к </w:t>
      </w:r>
      <w:hyperlink w:anchor="P35">
        <w:r>
          <w:rPr>
            <w:color w:val="0000FF"/>
          </w:rPr>
          <w:t>Декларации</w:t>
        </w:r>
      </w:hyperlink>
      <w:r>
        <w:t xml:space="preserve"> является добровольным.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 xml:space="preserve">В целях активизации работы по присоединению крупных компаний к </w:t>
      </w:r>
      <w:hyperlink w:anchor="P35">
        <w:r>
          <w:rPr>
            <w:color w:val="0000FF"/>
          </w:rPr>
          <w:t>Декларации</w:t>
        </w:r>
      </w:hyperlink>
      <w:r>
        <w:t xml:space="preserve"> Минэкономразвития России направляет утвержденные тексты </w:t>
      </w:r>
      <w:hyperlink w:anchor="P35">
        <w:r>
          <w:rPr>
            <w:color w:val="0000FF"/>
          </w:rPr>
          <w:t>Декларации</w:t>
        </w:r>
      </w:hyperlink>
      <w:r>
        <w:t xml:space="preserve"> и </w:t>
      </w:r>
      <w:hyperlink w:anchor="P126">
        <w:r>
          <w:rPr>
            <w:color w:val="0000FF"/>
          </w:rPr>
          <w:t>Стандарта</w:t>
        </w:r>
      </w:hyperlink>
      <w:r>
        <w:t>, а также Алгоритм присоединения к Декларации для компаний.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 xml:space="preserve">Просим проинформировать заинтересованный крупный бизнес, представленный в регионе, в целях присоединения новых компаний к </w:t>
      </w:r>
      <w:hyperlink w:anchor="P35">
        <w:r>
          <w:rPr>
            <w:color w:val="0000FF"/>
          </w:rPr>
          <w:t>Декларации</w:t>
        </w:r>
      </w:hyperlink>
      <w:r>
        <w:t>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jc w:val="right"/>
      </w:pPr>
      <w:r>
        <w:t>Т.А.ИЛЮШНИКОВА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0"/>
      </w:pPr>
      <w:r>
        <w:t>ПРЕАМБУЛА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Малый и средний бизнес являются важной составляющей экономики и от того, насколько будут эффективными меры поддержки для субъектов малого и среднего предпринимательства (МСП), во многом зависит укрепление и стабильное развитие экономики страны. Развитый сектор малого и среднего бизнеса имеет не только очевидную экономическую, бюджетную и социальную значимость, но способствует повышению уровня социальной ответственности и экономической инициативы в обществе, развитию человеческого капитала.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lastRenderedPageBreak/>
        <w:t>Крупный бизнес содействует развитию МСП, реализуя программы и мероприятия, обеспечивающие улучшение качества производимой продукции и услуг компаниями сектора малого и среднего предпринимательства, рост производительности труда, повышение качества управления в компаниях, выработку стратегии дальнейшего роста и масштабирования МСП.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В свою очередь, субъекты МСП стремятся к ответственному взаимодействию в цепочке поставок крупного бизнеса, обеспечению качества продукции и услуг в соответствии с требованиями заказчиков.</w:t>
      </w:r>
    </w:p>
    <w:p w:rsidR="00086F9B" w:rsidRDefault="005F6F60">
      <w:pPr>
        <w:pStyle w:val="ConsPlusNormal"/>
        <w:spacing w:before="200"/>
        <w:ind w:firstLine="540"/>
        <w:jc w:val="both"/>
      </w:pPr>
      <w:hyperlink w:anchor="P35">
        <w:r w:rsidR="00086F9B">
          <w:rPr>
            <w:color w:val="0000FF"/>
          </w:rPr>
          <w:t>Декларация</w:t>
        </w:r>
      </w:hyperlink>
      <w:r w:rsidR="00086F9B">
        <w:t xml:space="preserve"> о взаимодействии крупного бизнеса с субъектами МСП является документом, который определяет принципы взаимодействия крупного бизнеса с субъектами МСП и определяет области, в которых крупный бизнес может оказывать поддержку малому и среднему бизнесу.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 xml:space="preserve">Положения </w:t>
      </w:r>
      <w:hyperlink w:anchor="P35">
        <w:r>
          <w:rPr>
            <w:color w:val="0000FF"/>
          </w:rPr>
          <w:t>Декларации</w:t>
        </w:r>
      </w:hyperlink>
      <w:r>
        <w:t xml:space="preserve"> сформированы на основе лучших российских и международных практик взаимодействия крупного бизнеса с субъектами МСП и отражают приверженность принципам ответственной и добросовестной корпоративной практики.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0"/>
      </w:pPr>
      <w:bookmarkStart w:id="0" w:name="P35"/>
      <w:bookmarkEnd w:id="0"/>
      <w:r>
        <w:t>ДЕКЛАРАЦИЯ</w:t>
      </w:r>
    </w:p>
    <w:p w:rsidR="00086F9B" w:rsidRDefault="00086F9B">
      <w:pPr>
        <w:pStyle w:val="ConsPlusTitle"/>
        <w:jc w:val="center"/>
      </w:pPr>
      <w:r>
        <w:t>О ВЗАИМОДЕЙСТВИИ КРУПНОГО БИЗНЕСА С СУБЪЕКТАМИ МАЛОГО</w:t>
      </w:r>
    </w:p>
    <w:p w:rsidR="00086F9B" w:rsidRDefault="00086F9B">
      <w:pPr>
        <w:pStyle w:val="ConsPlusTitle"/>
        <w:jc w:val="center"/>
      </w:pPr>
      <w:r>
        <w:t>И СРЕДНЕГО ПРЕДПРИНИМАТЕЛЬСТВА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1"/>
      </w:pPr>
      <w:r>
        <w:t>УЧАСТНИКИ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 xml:space="preserve">Участниками Декларации могут являться представители крупного бизнеса, осуществляющие взаимодействие с сектором МСП, в том числе осуществляющим деятельность в сфере социального предпринимательства, </w:t>
      </w:r>
      <w:proofErr w:type="spellStart"/>
      <w:r>
        <w:t>самозанятыми</w:t>
      </w:r>
      <w:proofErr w:type="spellEnd"/>
      <w:r>
        <w:t xml:space="preserve"> физическими лицами, а также гражданами, планирующими начать собственное дело.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Компании, присоединившиеся к Декларации, руководствуются принципами создания долгосрочной экономической и социальной ценности для всех заинтересованных сторон, справедливого и равного отношения ко всем участникам взаимодействия, деловой этики, информационной открытости и прозрачности в соответствии с Целями устойчивого развития ООН.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При присоединении к Декларации представители крупного бизнеса по мере своих возможностей делятся опытом о реализации положений Декларации с партнерами, контрагентами, дочерними компаниями.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1"/>
      </w:pPr>
      <w:r>
        <w:t>ОБЛАСТИ ВЗАИМОДЕЙСТВИЯ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2"/>
      </w:pPr>
      <w:r>
        <w:t>1. Доступ на рынки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Представители крупного бизнеса на добровольной основе и в пределах имеющихся возможностей стремятся способствовать свободному доступу субъектов МСП на рынки и участию в тендерах и иных конкурсных закупочных процедурах посредством: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реализации прозрачного, открытого и добросовестного закупочного процесса, который соответствует всем требованиям применяемого законодательства;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открытого и своевременного информирования всех заинтересованных сторон о проведении конкурсного закупочного процесса;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справедливого, конкурентного и объективного рассмотрения заявок участников и проведения конкурсной закупочной процедуры;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создания возможностей для участия в конкурсных закупочных процедурах МСП, не аффилированных с компанией и сотрудниками компании;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консультирования субъектов МСП по условиям участия в тендерах;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консультирования субъектов МСП по вопросам встраивания в глобальные цепочки добавленной стоимости, расширения рынков сбыта.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2"/>
      </w:pPr>
      <w:r>
        <w:t xml:space="preserve">2. Модернизация </w:t>
      </w:r>
      <w:proofErr w:type="gramStart"/>
      <w:r>
        <w:t>производственных</w:t>
      </w:r>
      <w:proofErr w:type="gramEnd"/>
    </w:p>
    <w:p w:rsidR="00086F9B" w:rsidRDefault="00086F9B">
      <w:pPr>
        <w:pStyle w:val="ConsPlusTitle"/>
        <w:jc w:val="center"/>
      </w:pPr>
      <w:r>
        <w:t>и административных процессов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Представители крупного бизнеса на добровольной основе и в пределах имеющихся возможностей в рамках взаимодействия с субъектами МСП стремятся оказывать им поддержку, способствуя внедрению решений, которые в совокупности приводят к улучшению качества производимой продукции и услуг, повышению эффективности административных процессов, в частности: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содействуя внедрению субъектами МСП технологических решений, направленных на оптимизацию производственных процессов и уменьшения воздействия на окружающую среду;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содействуя внедрению субъектами МСП решений, направленных на повышение эффективности работы систем логистики, работы с кадрами, реализации продукции;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содействуя в осуществлении субъектами МСП трансфера технологий;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содействуя обмену опытом ответственного ведения бизнеса, обучению субъектов МСП и внедрению ими норм и стандартов в этой области, в том числе в сфере экологической и промышленной безопасности, охраны труда, противодействия коррупции;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осуществляя поддержку субъектов МСП при проведении различных исследовательских мероприятий и реализации инициатив в сфере научно-исследовательских и опытно-конструкторских работ (НИОКР);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выступая в качестве советника по внедрению инноваций у субъектов МСП;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оказывая поддержку субъектов МСП на конкурсной основе в целях внедрения инновационных решений.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2"/>
      </w:pPr>
      <w:r>
        <w:t>3. Доступ к инфраструктуре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Представители крупного бизнеса на добровольной основе и в пределах имеющихся возможностей стремятся оказывать всестороннюю поддержку субъектов МСП в части доступа к инфраструктуре, а именно: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оказывая поддержку субъектов МСП, которые являются его контрагентами, в части предоставления возможности использования информационных сервисов и программного обеспечения;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предоставляя субъектам МСП в случае необходимости возможности по продвижению продукции и услуг;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организовывая и проводя тематические региональные и межрегиональные выставки, ярмарки и фестивали, участниками которых могут быть субъекты МСП;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предоставляя доступ к специализированным платформам и вспомогательным сервисам, предоставляющим консультации по организации производственных процессов;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предоставляя доступ к электронным торговым площадкам, обеспечивающим взаимодействие между заказчиками и поставщиками.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2"/>
      </w:pPr>
      <w:r>
        <w:t>4. Доступ к финансированию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Представители крупного бизнеса на добровольной основе и в пределах имеющихся возможностей стремятся облегчать доступ субъектов МСП к финансовым инструментам. Компании, банки и финансовые организации могут: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предоставлять в сотрудничестве с финансовыми организациями и самостоятельно специальные условия по различным категориям финансовых продуктов для субъектов МСП, в том числе упрощенную процедуру оформления необходимых для получения финансирования документов;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оказывать консультативную поддержку в организации процесса привлечения финансирования, в организации выпуска и размещения финансовых инструментов, в том числе предоставлять упрощенную процедуру оформления документов, необходимых для привлечения финансирования;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lastRenderedPageBreak/>
        <w:t>обеспечивать обмен опытом и обучать собственников и руководителей субъектов МСП финансовой грамотности;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предоставлять гранты для развития производства и открытия собственного бизнеса, в том числе по франшизе;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 xml:space="preserve">предоставлять гранты, заемные средства на льготных условиях, инвестиции на разработку и внедрение наилучших доступных технологий, способствующих уменьшению негативного воздействия на окружающую среду, повышению </w:t>
      </w:r>
      <w:proofErr w:type="spellStart"/>
      <w:r>
        <w:t>энергоэффективности</w:t>
      </w:r>
      <w:proofErr w:type="spellEnd"/>
      <w:r>
        <w:t>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предоставлять гранты, заемные средства на льготных условиях, инвестиции для субъектов МСП, осуществляющих деятельность в сфере социального предпринимательства и производящих продукцию и (или) предоставляющих социально значимые услуги, направленные на развитие местных сообществ;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предоставлять авансы для поставщиков продукции;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оказывать содействие в использовании инструментов аккредитива, факторинга, лизинга и страхования.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При этом крупный бизнес стремится не применять в своей деятельности процессы и подходы, направленные на получение дополнительной сверхприбыли от реализуемых программ поддержки МСП.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2"/>
      </w:pPr>
      <w:r>
        <w:t>5. Развитие человеческого капитала и компетенций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Представители крупного бизнеса на добровольной основе и в пределах имеющихся возможностей могут оказывать всестороннюю поддержку субъектов МСП в части развития человеческого капитала. Поддержка может выражаться, но не ограничиваться: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проведением обучающих курсов для собственников и руководителей субъектов МСП в области повышения качества менеджмента;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реализацией программ для субъектов МСП в области повышения производительности труда и навыков сотрудников;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 xml:space="preserve">реализацией программ по развитию социального предпринимательства, включая обучающие долгосрочные и краткосрочные курсы, консультации, тренинги, программы наставничества, </w:t>
      </w:r>
      <w:proofErr w:type="spellStart"/>
      <w:r>
        <w:t>менторства</w:t>
      </w:r>
      <w:proofErr w:type="spellEnd"/>
      <w:r>
        <w:t>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экспертным содействием субъектам МСП при прохождении тендеров у компаний - партнеров;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проведением консультаций для субъектов МСП по получению российских и международных образовательных сертификатов;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обеспечением обмена опытом между своими сотрудниками и сотрудниками субъектов МСП посредством проведения обучающих семинаров, стажировок, мастер-классов, тренингов и реализации программ наставничества;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реализацией акселерационных программ по масштабированию бизнеса МСП по технологии франчайзинга;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экспертным содействием субъектам МСП, осуществляющим деятельность в сфере социального предпринимательства, по расширению присутствия и выходу на новые рынки;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взаимодействием с субъектами МСП, осуществляющими деятельность в сфере социального предпринимательства, при реализации корпоративных программ по развитию персонала, организации досуга и заботе о здоровье сотрудников, а также при развитии социальной инфраструктуры в регионах присутствия.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1"/>
      </w:pPr>
      <w:r>
        <w:t>ПРИНЦИПЫ РАСКРЫТИЯ ИНФОРМАЦИИ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Представители крупного бизнеса раскрывают информацию о своем взаимодействии с субъектами МСП для продвижения идеи о необходимости содействия таким компаниям.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lastRenderedPageBreak/>
        <w:t>Раскрытие информации осуществляется ежегодно, в объеме, достаточном для оценки соблюдения положений статей настоящей Декларации и охвата сектора МСП реализуемыми программами и в соответствии с правилами по раскрытию информации крупным бизнесом и политикой о защите конфиденциальных данных.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Информацию по реализации Декларации рекомендуется отражать в ежегодной публичной отчетности компаний, включая отчеты по устойчивому развитию и годовые отчеты.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Представляемая информация размещается в открытом доступе.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По итогам рассмотрения результатов работы компаний по поддержке сектора МСП составляется ежегодный рейтинг.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Оценка результатов работы компаний по взаимодействию с сектором МСП осуществляется в соответствии с принципами, описанными в Стандарте взаимодействия крупного бизнеса с субъектами малого и среднего предпринимательства, являющимся неотъемлемой частью настоящей Декларации.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Пользователями рейтинга и информации о реализации положений Декларации могут являться компании, граждане и органы государственной власти Российской Федерации.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1"/>
      </w:pPr>
      <w:r>
        <w:t>ПРОЧИЕ ПОЛОЖЕНИЯ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Декларация не является нормативным правовым актом.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Декларация не может служить основанием для судебных разбирательств.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Положения настоящей Декларации могут пересматриваться по мере необходимости.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Присоединение к Декларации, а также прекращение соблюдения компанией положений Декларации, происходит на добровольной основе путем публичного заявления.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В случае присоединения к Декларации одновременное выполнение положений всех статей не является обязательным условием.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0"/>
      </w:pPr>
      <w:bookmarkStart w:id="1" w:name="P126"/>
      <w:bookmarkEnd w:id="1"/>
      <w:r>
        <w:t>СТАНДАРТ</w:t>
      </w:r>
    </w:p>
    <w:p w:rsidR="00086F9B" w:rsidRDefault="00086F9B">
      <w:pPr>
        <w:pStyle w:val="ConsPlusTitle"/>
        <w:jc w:val="center"/>
      </w:pPr>
      <w:r>
        <w:t>РЕАЛИЗАЦИИ ПОЛОЖЕНИЙ ДЕКЛАРАЦИИ О ВЗАИМОДЕЙСТВИИ КРУПНОГО</w:t>
      </w:r>
    </w:p>
    <w:p w:rsidR="00086F9B" w:rsidRDefault="00086F9B">
      <w:pPr>
        <w:pStyle w:val="ConsPlusTitle"/>
        <w:jc w:val="center"/>
      </w:pPr>
      <w:r>
        <w:t>БИЗНЕСА С СУБЪЕКТАМИ МАЛОГО И СРЕДНЕГО ПРЕДПРИНИМАТЕЛЬСТВА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Настоящий Стандарт является неотъемлемой частью Декларации о взаимодействии крупного бизнеса с субъектами малого и среднего предпринимательства (далее - Декларация).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Стандарт содержит рекомендации по применению Декларации для организаций и раскрытию информации о взаимодействии компаний с МСП, качественные и количественные показатели в рамках пяти областей взаимодействия крупного бизнеса с МСП, а также методы оценки результатов деятельности организаций по применению принципов Декларации.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Настоящий Стандарт основывается на нормах законодательства Российской Федерации, лучших российских и международных практиках взаимодействия крупного бизнеса с субъектами МСП и Целях устойчивого развития ООН.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1"/>
      </w:pPr>
      <w:r>
        <w:t>ТЕРМИНЫ, СОКРАЩЕНИЯ И ОПРЕДЕЛЕНИЯ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Заинтересованная сторона - физическое или юридическое лицо или группа лиц, заинтересованные в результатах деятельности компании и причастные к процессу реализации положений Декларации.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 xml:space="preserve">Крупный бизнес - предприятия с годовым доходом более 2 </w:t>
      </w:r>
      <w:proofErr w:type="gramStart"/>
      <w:r>
        <w:t>млрд</w:t>
      </w:r>
      <w:proofErr w:type="gramEnd"/>
      <w:r>
        <w:t xml:space="preserve"> руб. и штатом сотрудников более 250 человек.</w:t>
      </w:r>
    </w:p>
    <w:p w:rsidR="00086F9B" w:rsidRDefault="00086F9B">
      <w:pPr>
        <w:pStyle w:val="ConsPlusNormal"/>
        <w:spacing w:before="200"/>
        <w:ind w:firstLine="540"/>
        <w:jc w:val="both"/>
      </w:pPr>
      <w:proofErr w:type="gramStart"/>
      <w:r>
        <w:t xml:space="preserve">Субъекты малого и среднего предпринимательства (МСП) - хозяйствующие субъекты </w:t>
      </w:r>
      <w:r>
        <w:lastRenderedPageBreak/>
        <w:t xml:space="preserve">(юридические лица и индивидуальные предприниматели), отнесенные в соответствии с критериями, установленными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предприятиям, сведения о которых внесены в единый реестр субъектов малого и среднего предпринимательства.</w:t>
      </w:r>
      <w:proofErr w:type="gramEnd"/>
    </w:p>
    <w:p w:rsidR="00086F9B" w:rsidRDefault="00086F9B">
      <w:pPr>
        <w:pStyle w:val="ConsPlusNormal"/>
        <w:spacing w:before="200"/>
        <w:ind w:firstLine="540"/>
        <w:jc w:val="both"/>
      </w:pPr>
      <w:r>
        <w:t>Цели устойчивого развития ООН - набор из 17 взаимосвязанных целей, разработанных в 2015 году Генеральной ассамблеей ООН в качестве "плана достижения лучшего и более устойчивого будущего для всех", содержащихся в итоговом документе "Преобразование нашего мира: Повестка дня в области устойчивого развития на период до 2030 года".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Декларация - Декларация о взаимодействии крупного бизнеса с субъектами малого и среднего предпринимательства.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Компания - субъект крупного бизнеса.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Отчет о результатах деятельности по взаимодействию с МСП (Отчет) - публично раскрываемая компанией информация о взаимодействии с субъектами МСП. Информация может быть представлена в виде самостоятельного отчета или раздела в составе ежегодной публичной отчетности (годовой отчет и/или отчет об устойчивом развитии).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Некоммерческая организация (НКО) - организация,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1"/>
      </w:pPr>
      <w:r>
        <w:t>РАСКРЫТИЕ ИНФОРМАЦИИ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Раскрытие информации о взаимодействии компании с МСП рекомендуется осуществлять ежегодно, в объеме, достаточном для оценки соблюдения положений статей Декларации.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Информацию по реализации положений настоящего Стандарта рекомендуется отражать в ежегодной публичной отчетности компании. В случае</w:t>
      </w:r>
      <w:proofErr w:type="gramStart"/>
      <w:r>
        <w:t>,</w:t>
      </w:r>
      <w:proofErr w:type="gramEnd"/>
      <w:r>
        <w:t xml:space="preserve"> если компания оказывает поддержку субъектам МСП, каким-либо способом, осуществляющим деятельность в сфере социального предпринимательства, то информацию также рекомендуется отражать в ежегодной отчетности.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Раскрываемая информация размещается в открытом доступе.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При раскрытии информации компаниям рекомендуется обозначить стратегические подходы и целевые ориентиры, принятые в рамках реализации политики компании по взаимодействию с субъектами МСП.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1"/>
      </w:pPr>
      <w:r>
        <w:t>ПРИНЦИПЫ ОТЧЕТНОСТИ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Точность - информация, содержащаяся в Отчете, достаточно точная для того, чтобы заинтересованные стороны смогли оценить деятельность компании в рамках ее взаимодействия с МСП. В Отчете содержатся сведения по тем положениям Декларации, которые реально реализуются компанией.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Полнота и существенность - в Отчете полноценно раскрывается информация обо всех существенных аспектах взаимодействия компании с МСП в рамках отчетного периода.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Сбалансированность - Отчет отражает положительные и отрицательные аспекты взаимодействия компании с МСП.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 xml:space="preserve">Достоверность - вся информация, которая собирается и раскрывается в Отчете, достоверна. При необходимости компания имеет возможность подтвердить достоверность данных, </w:t>
      </w:r>
      <w:proofErr w:type="gramStart"/>
      <w:r>
        <w:t>предоставив необходимые подтверждающие документы</w:t>
      </w:r>
      <w:proofErr w:type="gramEnd"/>
      <w:r>
        <w:t>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 xml:space="preserve">Сопоставимость - компания систематично отбирает, собирает и раскрывает информацию. Форма представления информации в Отчете позволяет заинтересованным сторонам проводить анализ изменений в рамках взаимодействия компании с МСП в течение всего периода ее существования. Форма изложения </w:t>
      </w:r>
      <w:proofErr w:type="gramStart"/>
      <w:r>
        <w:t>представляет возможность</w:t>
      </w:r>
      <w:proofErr w:type="gramEnd"/>
      <w:r>
        <w:t xml:space="preserve"> заинтересованным сторонам сопоставлять данные с другими компаниями.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 xml:space="preserve">Своевременность - компания </w:t>
      </w:r>
      <w:proofErr w:type="gramStart"/>
      <w:r>
        <w:t>предоставляет отчеты</w:t>
      </w:r>
      <w:proofErr w:type="gramEnd"/>
      <w:r>
        <w:t xml:space="preserve"> в сроки раскрытия ежегодной отчетности </w:t>
      </w:r>
      <w:r>
        <w:lastRenderedPageBreak/>
        <w:t>компании.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Добровольность - компания самостоятельно принимает решение о раскрытии информации в соответствии с правилами по раскрытию информации крупным бизнесом и политикой о защите конфиденциальных данных.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1"/>
      </w:pPr>
      <w:r>
        <w:t>ПРОЦЕДУРА НЕЗАВИСИМОГО ПОДТВЕРЖДЕНИЯ РАСКРЫВАЕМОЙ ИНФОРМАЦИИ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В целях обеспечения высокого качества раскрываемой в Отчете информации и соответствия требованиям настоящего Стандарта компания может провести процедуру независимого подтверждения раскрываемой информации.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Независимое подтверждение раскрываемой информации в соответствии с требованиями настоящего Стандарта может проводиться в составе ежегодного аудита нефинансовой отчетности компании или являться отдельной процедурой. Компания самостоятельно выбирает форму подтверждения - аудиторская проверка или общественное (экспертное) заверение.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Для проведения процедуры независимого подтверждения раскрываемой информации компания может привлекать независимую внешнюю организацию, имеющую опыт оценки корпоративной отчетности, программ, проектов и направлений деятельности компании.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1"/>
      </w:pPr>
      <w:r>
        <w:t>ЭЛЕМЕНТЫ ОЦЕНКИ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В Декларации определены пять областей взаимодействия крупного бизнеса с субъектами МСП. Каждая из этих областей имеет ряд качественных и количественных элементов оценки, информацию по которым компании рекомендуется публиковать в своем Отчете.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Ключевые нефинансовые показатели эффективности рекомендуется предоставлять в динамике, чтобы обеспечить предоставление достоверной информации о прогрессе и тенденциях в деятельности компании.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2"/>
      </w:pPr>
      <w:r>
        <w:t>1. Доступ на рынки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- Наличие корпоративных политик, кодексов, правил, стандартов, определяющих поведение компании в области закупок, работы с контрагентами, в том числе с субъектами МСП.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Наличие корпоративных политик, кодексов, правил, стандартов, определяющих поведение компании в области деловой этики, соблюдения правил конкуренции на рынке, в том числе, в отношении субъектов МСП.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Наличие корпоративных политик, кодексов, правил, стандартов, определяющих поведение компании в области создания цепочек добавленной стоимости.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 xml:space="preserve">- Доступность информации о проводимых компаниями закупках, в </w:t>
      </w:r>
      <w:proofErr w:type="spellStart"/>
      <w:r>
        <w:t>т.ч</w:t>
      </w:r>
      <w:proofErr w:type="spellEnd"/>
      <w:r>
        <w:t>. размещение информации о предстоящей закупке на официальном сайте компании в отдельном разделе "Закупки", расположенном на главной странице.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Количество заявок субъектов МСП на участие в конкурсных закупочных процедурах.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Доля закупок у МСП.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Доля закупок, произведенных через электронные торговые площадки, а также, в случае использования, на основании принципов "электронного магазина".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Доля МСП среди участников электронных торгов.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Количество публичных мероприятий по взаимодействию с поставщиками, направленных на привлечение субъектов МСП в процесс закупок.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Внедрение прозрачной процедуры рассмотрения заявок участников и проведения конкурсной закупочной процедуры с обязательной проверкой победителя (МСП) закупки.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2"/>
      </w:pPr>
      <w:r>
        <w:t xml:space="preserve">2. Модернизация </w:t>
      </w:r>
      <w:proofErr w:type="gramStart"/>
      <w:r>
        <w:t>производственных</w:t>
      </w:r>
      <w:proofErr w:type="gramEnd"/>
    </w:p>
    <w:p w:rsidR="00086F9B" w:rsidRDefault="00086F9B">
      <w:pPr>
        <w:pStyle w:val="ConsPlusTitle"/>
        <w:jc w:val="center"/>
      </w:pPr>
      <w:r>
        <w:t>и административных процессов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lastRenderedPageBreak/>
        <w:t>- Наличие программ по акселерации субъектов МСП, корпоративных акселераторов.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Количество субъектов МСП, участвующих в программах по акселерации субъектов МСП.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Количество консультаций для МСП по вопросам получения сертификатов и количество участников данных консультаций.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Количество консультаций для МСП по вопросам ответственного ведения бизнеса, повышения эффективности работы производственных и административно-управленческих систем и количество участников данных консультаций.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Количество реализованных цифровых решений для МСП (1С, ЭДО, CRM).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Поддержка субъектов МСП при проведении различных исследовательских мероприятий и реализации инициатив в сфере научно-исследовательских и опытно-конструкторских работ (НИОКР).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Поддержка субъектов МСП по внедрению инновационных решений.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Количество заключенных договоров с МСП, способствующих минимизации воздействия на окружающую среду при поддержке компании крупного бизнеса.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Оказание консультационной поддержки клиентам в развитии системы управления климатическими рисками и возможностями.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2"/>
      </w:pPr>
      <w:r>
        <w:t>3. Доступ к инфраструктуре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- Использование электронных торговых площадок для проведения закупок.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Предоставление субъектам МСП возможности пользоваться информационными сервисами и программным обеспечением.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Организация и проведение мероприятий (выставки, ярмарки, фестивали), участниками которых становились субъекты МСП.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2"/>
      </w:pPr>
      <w:r>
        <w:t>4. Доступ к финансированию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- Наличие корпоративных политик, кодексов, правил, стандартов, определяющих поведение компании в области взаиморасчетов с контрагентами из числа субъектов МСП.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Наличие программ по повышению финансовой грамотности.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Наличие специализированных финансовых продуктов для субъектов МСП (а также в случае возможности предоставления субсидии, гранты, заемные средства на льготных условиях, инвестиции и т.д.).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Наличие финансовой и другой поддержки субъектов МСП, являющимися социальными предпринимателями.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 xml:space="preserve">- Возможность оказания содействия при внедрении наилучших доступных технологий, способствующих уменьшению негативного воздействия на окружающую среду, повышению </w:t>
      </w:r>
      <w:proofErr w:type="spellStart"/>
      <w:r>
        <w:t>энергоэффективности</w:t>
      </w:r>
      <w:proofErr w:type="spellEnd"/>
      <w:r>
        <w:t>, иные направления, соответствующие Целям устойчивого развития ООН.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Количество консультаций для МСП по вопросам привлечения финансирования, использования инструментов аккредитива, факторинга, лизинга и страхования и количество участников данных консультаций.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 xml:space="preserve">- Наличие и предоставление франшиз субъектам МСП, а также возможность предоставления </w:t>
      </w:r>
      <w:proofErr w:type="spellStart"/>
      <w:r>
        <w:t>софинансирования</w:t>
      </w:r>
      <w:proofErr w:type="spellEnd"/>
      <w:r>
        <w:t xml:space="preserve"> или иных льгот при открытии таких франшиз (материальная и нематериальная поддержка).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 xml:space="preserve">- Передача информации о платежной дисциплине МСП при обязательном условии получения/предоставления согласия субъектом МСП </w:t>
      </w:r>
      <w:proofErr w:type="gramStart"/>
      <w:r>
        <w:t>на передачу таких данных в соответствии с действующим Законодательством РФ в рамках заключения контрактов с целью</w:t>
      </w:r>
      <w:proofErr w:type="gramEnd"/>
      <w:r>
        <w:t xml:space="preserve"> дальнейшей интеграции с банковскими системами/государственными платформами для возможности </w:t>
      </w:r>
      <w:r>
        <w:lastRenderedPageBreak/>
        <w:t>получения финансирования (гарантии/кредиты/субсидии).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2"/>
      </w:pPr>
      <w:r>
        <w:t>5. Развитие человеческого капитала и компетенций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- Наличие образовательных программ в области развития человеческого капитала, которые могут применяться во взаимодействии с субъектами МСП.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 xml:space="preserve">- Наличие программ для субъектов МСП, включая краткосрочные курсы, консультации, тренинги, программы наставничества и </w:t>
      </w:r>
      <w:proofErr w:type="spellStart"/>
      <w:r>
        <w:t>менторства</w:t>
      </w:r>
      <w:proofErr w:type="spellEnd"/>
      <w:r>
        <w:t>, по повышению качества менеджмента, управления персоналом, увеличению производительности труда, реализации проектов социального предпринимательства, выходу на новые рынки и иных обучающих программ.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 xml:space="preserve">- Количество МСП, </w:t>
      </w:r>
      <w:proofErr w:type="gramStart"/>
      <w:r>
        <w:t>воспользовавшихся</w:t>
      </w:r>
      <w:proofErr w:type="gramEnd"/>
      <w:r>
        <w:t xml:space="preserve"> данными программами.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Наличие акселерационных программ по масштабированию бизнеса по технологии франчайзинга применительно к субъектам МСП.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Количество консультаций для МСП по вопросам получения российских и международных образовательных сертификатов, прохождению тендеров у компаний-партнеров и количество участников данных консультаций.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- Количество консультаций, проведенных в целях обмена опытом между сотрудниками компании и сотрудниками субъектов МСП и количество участников данных консультаций.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1"/>
      </w:pPr>
      <w:r>
        <w:t>ПРОЦЕДУРА ОЦЕНКИ РАСКРЫВАЕМОЙ ИНФОРМАЦИИ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Оценка деятельности компаний по взаимодействию с сектором МСП осуществляется по итогам рассмотрения раскрываемой компаниями информации в ежегодном Отчете по взаимодействию с сектором МСП. В рассмотрении раскрываемой компаниями информации могут принимать участие ведущие деловые объединения.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Оценка компании проводится на основе измерения качественных и количественных показателей взаимодействия компании с субъектами МСП, соответствующих элементам раскрытия информации.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Каждый из качественных показателей оценивается на 0 или 1, каждый из количественных - от 0 до 1, в зависимости от степени их выполнения. Каждый показатель имеет собственный вес, отражающий его значимость.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Присвоение оценки от 0 до 1 для абсолютных показателей осуществляется исходя из степени его достижения относительно среднего значения показателя по компаниям, участвующим в оценке.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Итоговая оценка (P) для компании n рассчитывается по формуле: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2362200" cy="2762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где:</w:t>
      </w:r>
    </w:p>
    <w:p w:rsidR="00086F9B" w:rsidRDefault="00086F9B">
      <w:pPr>
        <w:pStyle w:val="ConsPlusNormal"/>
        <w:spacing w:before="20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вес качественного показателя (от 0 до 1);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оценка соответствия компании качественному показателю эффективности взаимодействия компании с субъектами МСП;</w:t>
      </w:r>
    </w:p>
    <w:p w:rsidR="00086F9B" w:rsidRDefault="00086F9B">
      <w:pPr>
        <w:pStyle w:val="ConsPlusNormal"/>
        <w:spacing w:before="200"/>
        <w:ind w:firstLine="540"/>
        <w:jc w:val="both"/>
      </w:pP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 - вес количественного показателя (от 0 до 1);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095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оценка достижения компанией количественного показателя эффективности взаимодействия компании с субъектами МСП.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2"/>
      </w:pPr>
      <w:r>
        <w:t>Качественные показатели взаимодействия компаний</w:t>
      </w:r>
    </w:p>
    <w:p w:rsidR="00086F9B" w:rsidRDefault="00086F9B">
      <w:pPr>
        <w:pStyle w:val="ConsPlusTitle"/>
        <w:jc w:val="center"/>
      </w:pPr>
      <w:r>
        <w:t>с субъектами МСП</w:t>
      </w:r>
    </w:p>
    <w:p w:rsidR="00086F9B" w:rsidRDefault="00086F9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2"/>
        <w:gridCol w:w="4883"/>
        <w:gridCol w:w="1520"/>
        <w:gridCol w:w="1174"/>
      </w:tblGrid>
      <w:tr w:rsidR="00086F9B" w:rsidTr="005F6F60">
        <w:tc>
          <w:tcPr>
            <w:tcW w:w="878" w:type="pct"/>
          </w:tcPr>
          <w:p w:rsidR="00086F9B" w:rsidRDefault="00086F9B">
            <w:pPr>
              <w:pStyle w:val="ConsPlusNormal"/>
              <w:jc w:val="center"/>
            </w:pPr>
            <w:r>
              <w:lastRenderedPageBreak/>
              <w:t>Область взаимодействия компании с МСП</w:t>
            </w:r>
          </w:p>
        </w:tc>
        <w:tc>
          <w:tcPr>
            <w:tcW w:w="2668" w:type="pct"/>
          </w:tcPr>
          <w:p w:rsidR="00086F9B" w:rsidRDefault="00086F9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94" w:type="pct"/>
          </w:tcPr>
          <w:p w:rsidR="00086F9B" w:rsidRDefault="00086F9B">
            <w:pPr>
              <w:pStyle w:val="ConsPlusNormal"/>
              <w:jc w:val="center"/>
            </w:pPr>
            <w:r>
              <w:t>Оценка соответствию требованию (</w:t>
            </w:r>
            <w:proofErr w:type="spellStart"/>
            <w:r>
              <w:t>О</w:t>
            </w:r>
            <w:r>
              <w:rPr>
                <w:vertAlign w:val="superscript"/>
              </w:rPr>
              <w:t>кач</w:t>
            </w:r>
            <w:proofErr w:type="spellEnd"/>
            <w:r>
              <w:rPr>
                <w:vertAlign w:val="superscript"/>
              </w:rPr>
              <w:t>.</w:t>
            </w:r>
            <w:r>
              <w:t>)</w:t>
            </w:r>
          </w:p>
        </w:tc>
        <w:tc>
          <w:tcPr>
            <w:tcW w:w="560" w:type="pct"/>
          </w:tcPr>
          <w:p w:rsidR="00086F9B" w:rsidRDefault="00086F9B">
            <w:pPr>
              <w:pStyle w:val="ConsPlusNormal"/>
              <w:jc w:val="center"/>
            </w:pPr>
            <w:r>
              <w:t>Вес показателя (</w:t>
            </w:r>
            <w:proofErr w:type="gramStart"/>
            <w:r>
              <w:t>от</w:t>
            </w:r>
            <w:proofErr w:type="gramEnd"/>
            <w:r>
              <w:t xml:space="preserve"> о до 1)</w:t>
            </w:r>
          </w:p>
        </w:tc>
      </w:tr>
      <w:tr w:rsidR="00086F9B" w:rsidTr="005F6F60">
        <w:tc>
          <w:tcPr>
            <w:tcW w:w="878" w:type="pct"/>
            <w:vMerge w:val="restar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Доступ на рынки</w:t>
            </w:r>
          </w:p>
        </w:tc>
        <w:tc>
          <w:tcPr>
            <w:tcW w:w="2668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Наличие корпоративных политик, кодексов, правил, стандартов, определяющих поведение компании в области закупок, работы с контрагентами, в том числе с субъектами МСП</w:t>
            </w:r>
          </w:p>
        </w:tc>
        <w:tc>
          <w:tcPr>
            <w:tcW w:w="894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0/1</w:t>
            </w:r>
          </w:p>
        </w:tc>
        <w:tc>
          <w:tcPr>
            <w:tcW w:w="56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1</w:t>
            </w:r>
          </w:p>
        </w:tc>
      </w:tr>
      <w:tr w:rsidR="00086F9B" w:rsidTr="005F6F60">
        <w:tc>
          <w:tcPr>
            <w:tcW w:w="878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668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Наличие корпоративных политик, кодексов, правил, стандартов, определяющих поведение компании в области деловой этики, соблюдения правил конкуренции на рынке, в том числе в отношении субъектов МСП</w:t>
            </w:r>
          </w:p>
        </w:tc>
        <w:tc>
          <w:tcPr>
            <w:tcW w:w="894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0/1</w:t>
            </w:r>
          </w:p>
        </w:tc>
        <w:tc>
          <w:tcPr>
            <w:tcW w:w="56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2</w:t>
            </w:r>
          </w:p>
        </w:tc>
      </w:tr>
      <w:tr w:rsidR="00086F9B" w:rsidTr="005F6F60">
        <w:tc>
          <w:tcPr>
            <w:tcW w:w="878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668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Наличие корпоративных политик, кодексов, правил, стандартов, определяющих поведение компании в области создания цепочек добавленной стоимости</w:t>
            </w:r>
          </w:p>
        </w:tc>
        <w:tc>
          <w:tcPr>
            <w:tcW w:w="894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0/1</w:t>
            </w:r>
          </w:p>
        </w:tc>
        <w:tc>
          <w:tcPr>
            <w:tcW w:w="56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3</w:t>
            </w:r>
          </w:p>
        </w:tc>
      </w:tr>
      <w:tr w:rsidR="00086F9B" w:rsidTr="005F6F60">
        <w:tc>
          <w:tcPr>
            <w:tcW w:w="878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668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Наличие информации о предстоящей закупке на официальном сайте компании в отдельном разделе "Закупки", расположенном на главной странице</w:t>
            </w:r>
          </w:p>
        </w:tc>
        <w:tc>
          <w:tcPr>
            <w:tcW w:w="894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0/1</w:t>
            </w:r>
          </w:p>
        </w:tc>
        <w:tc>
          <w:tcPr>
            <w:tcW w:w="56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4</w:t>
            </w:r>
          </w:p>
        </w:tc>
      </w:tr>
      <w:tr w:rsidR="00086F9B" w:rsidTr="005F6F60">
        <w:tc>
          <w:tcPr>
            <w:tcW w:w="878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Модернизация производственных и административных процессов</w:t>
            </w:r>
          </w:p>
        </w:tc>
        <w:tc>
          <w:tcPr>
            <w:tcW w:w="2668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Наличие программ по акселерации субъектов МСП, корпоративных акселераторов</w:t>
            </w:r>
          </w:p>
        </w:tc>
        <w:tc>
          <w:tcPr>
            <w:tcW w:w="894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0/1</w:t>
            </w:r>
          </w:p>
        </w:tc>
        <w:tc>
          <w:tcPr>
            <w:tcW w:w="56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5</w:t>
            </w:r>
          </w:p>
        </w:tc>
      </w:tr>
      <w:tr w:rsidR="00086F9B" w:rsidTr="005F6F60">
        <w:tc>
          <w:tcPr>
            <w:tcW w:w="878" w:type="pct"/>
            <w:vMerge w:val="restar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Доступ к инфраструктуре</w:t>
            </w:r>
          </w:p>
        </w:tc>
        <w:tc>
          <w:tcPr>
            <w:tcW w:w="2668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Наличие возможности использования электронных торговых площадок для проведения закупок</w:t>
            </w:r>
          </w:p>
        </w:tc>
        <w:tc>
          <w:tcPr>
            <w:tcW w:w="894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0/1</w:t>
            </w:r>
          </w:p>
        </w:tc>
        <w:tc>
          <w:tcPr>
            <w:tcW w:w="56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6</w:t>
            </w:r>
          </w:p>
        </w:tc>
      </w:tr>
      <w:tr w:rsidR="00086F9B" w:rsidTr="005F6F60">
        <w:tc>
          <w:tcPr>
            <w:tcW w:w="878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668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Наличие возможности использования электронных торговых площадок для проведения закупок с предоставлением льготного доступа к процессу закупок для субъектов МСП, включая раздел закупок "не только для субъектов МСП"</w:t>
            </w:r>
          </w:p>
        </w:tc>
        <w:tc>
          <w:tcPr>
            <w:tcW w:w="894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0/1</w:t>
            </w:r>
          </w:p>
        </w:tc>
        <w:tc>
          <w:tcPr>
            <w:tcW w:w="56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7</w:t>
            </w:r>
          </w:p>
        </w:tc>
      </w:tr>
      <w:tr w:rsidR="00086F9B" w:rsidTr="005F6F60">
        <w:tc>
          <w:tcPr>
            <w:tcW w:w="878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668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Наличие возможности для субъектов МСП воспользоваться информационными сервисами и программным обеспечением</w:t>
            </w:r>
          </w:p>
        </w:tc>
        <w:tc>
          <w:tcPr>
            <w:tcW w:w="894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0/1</w:t>
            </w:r>
          </w:p>
        </w:tc>
        <w:tc>
          <w:tcPr>
            <w:tcW w:w="56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8</w:t>
            </w:r>
          </w:p>
        </w:tc>
      </w:tr>
      <w:tr w:rsidR="00086F9B" w:rsidTr="005F6F60">
        <w:tc>
          <w:tcPr>
            <w:tcW w:w="878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668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Организация и проведение мероприятий (выставки, ярмарки, фестивали), участниками которых становились субъекты МСП</w:t>
            </w:r>
          </w:p>
        </w:tc>
        <w:tc>
          <w:tcPr>
            <w:tcW w:w="894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0/1</w:t>
            </w:r>
          </w:p>
        </w:tc>
        <w:tc>
          <w:tcPr>
            <w:tcW w:w="56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9</w:t>
            </w:r>
          </w:p>
        </w:tc>
      </w:tr>
      <w:tr w:rsidR="00086F9B" w:rsidTr="005F6F60">
        <w:tc>
          <w:tcPr>
            <w:tcW w:w="878" w:type="pct"/>
            <w:vMerge w:val="restar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Доступ к финансированию</w:t>
            </w:r>
          </w:p>
        </w:tc>
        <w:tc>
          <w:tcPr>
            <w:tcW w:w="2668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Наличие корпоративных политик, кодексов, правил, стандартов, определяющих поведение компании в области взаиморасчетов с контрагентами</w:t>
            </w:r>
          </w:p>
        </w:tc>
        <w:tc>
          <w:tcPr>
            <w:tcW w:w="894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0/1</w:t>
            </w:r>
          </w:p>
        </w:tc>
        <w:tc>
          <w:tcPr>
            <w:tcW w:w="56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10</w:t>
            </w:r>
          </w:p>
        </w:tc>
      </w:tr>
      <w:tr w:rsidR="00086F9B" w:rsidTr="005F6F60">
        <w:tc>
          <w:tcPr>
            <w:tcW w:w="878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668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Наличие программ по повышению финансовой грамотности</w:t>
            </w:r>
          </w:p>
        </w:tc>
        <w:tc>
          <w:tcPr>
            <w:tcW w:w="894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0/1</w:t>
            </w:r>
          </w:p>
        </w:tc>
        <w:tc>
          <w:tcPr>
            <w:tcW w:w="56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11</w:t>
            </w:r>
          </w:p>
        </w:tc>
      </w:tr>
      <w:tr w:rsidR="00086F9B" w:rsidTr="005F6F60">
        <w:tc>
          <w:tcPr>
            <w:tcW w:w="878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668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Наличие специализированных финансовых продуктов для субъектов МСП</w:t>
            </w:r>
          </w:p>
        </w:tc>
        <w:tc>
          <w:tcPr>
            <w:tcW w:w="894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0/1</w:t>
            </w:r>
          </w:p>
        </w:tc>
        <w:tc>
          <w:tcPr>
            <w:tcW w:w="56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12</w:t>
            </w:r>
          </w:p>
        </w:tc>
      </w:tr>
      <w:tr w:rsidR="00086F9B" w:rsidTr="005F6F60">
        <w:tc>
          <w:tcPr>
            <w:tcW w:w="878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668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 xml:space="preserve">Предоставление возвратного финансирования субъектам МСП по специальным условиям, </w:t>
            </w:r>
            <w:r>
              <w:lastRenderedPageBreak/>
              <w:t>обеспеченным компанией в сотрудничестве с финансовыми организациями, либо самостоятельно (за исключением социальных предприятий)</w:t>
            </w:r>
          </w:p>
        </w:tc>
        <w:tc>
          <w:tcPr>
            <w:tcW w:w="894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lastRenderedPageBreak/>
              <w:t>0/1</w:t>
            </w:r>
          </w:p>
        </w:tc>
        <w:tc>
          <w:tcPr>
            <w:tcW w:w="56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13</w:t>
            </w:r>
          </w:p>
        </w:tc>
      </w:tr>
      <w:tr w:rsidR="00086F9B" w:rsidTr="005F6F60">
        <w:tc>
          <w:tcPr>
            <w:tcW w:w="878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668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Предоставление безвозвратного финансирования субъектам МСП по специальным условиям, обеспеченным компанией в сотрудничестве с финансовыми организациями, либо самостоятельно (за исключением социальных предприятий)</w:t>
            </w:r>
          </w:p>
        </w:tc>
        <w:tc>
          <w:tcPr>
            <w:tcW w:w="894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0/1</w:t>
            </w:r>
          </w:p>
        </w:tc>
        <w:tc>
          <w:tcPr>
            <w:tcW w:w="56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14</w:t>
            </w:r>
          </w:p>
        </w:tc>
      </w:tr>
      <w:tr w:rsidR="00086F9B" w:rsidTr="005F6F60">
        <w:tc>
          <w:tcPr>
            <w:tcW w:w="878" w:type="pct"/>
            <w:vMerge w:val="restar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Развитие человеческого капитала</w:t>
            </w:r>
          </w:p>
        </w:tc>
        <w:tc>
          <w:tcPr>
            <w:tcW w:w="2668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Наличие акселерационных программ по масштабированию бизнеса по технологии франчайзинга применительно к субъектам МСП</w:t>
            </w:r>
          </w:p>
        </w:tc>
        <w:tc>
          <w:tcPr>
            <w:tcW w:w="894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0/1</w:t>
            </w:r>
          </w:p>
        </w:tc>
        <w:tc>
          <w:tcPr>
            <w:tcW w:w="56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15</w:t>
            </w:r>
          </w:p>
        </w:tc>
      </w:tr>
      <w:tr w:rsidR="00086F9B" w:rsidTr="005F6F60">
        <w:tc>
          <w:tcPr>
            <w:tcW w:w="878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668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 xml:space="preserve">Наличие программ для субъектов МСП, включая краткосрочные курсы, консультации, тренинги, программы наставничества и </w:t>
            </w:r>
            <w:proofErr w:type="spellStart"/>
            <w:r>
              <w:t>менторства</w:t>
            </w:r>
            <w:proofErr w:type="spellEnd"/>
            <w:r>
              <w:t>, по повышению качества менеджмента, управления персоналом, увеличению производительности труда, реализации проектов социального предпринимательства, выходу на новые рынки</w:t>
            </w:r>
          </w:p>
        </w:tc>
        <w:tc>
          <w:tcPr>
            <w:tcW w:w="894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0/1</w:t>
            </w:r>
          </w:p>
        </w:tc>
        <w:tc>
          <w:tcPr>
            <w:tcW w:w="56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16</w:t>
            </w:r>
          </w:p>
        </w:tc>
      </w:tr>
    </w:tbl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2"/>
      </w:pPr>
      <w:r>
        <w:t>Количественные показатели взаимодействия компаний</w:t>
      </w:r>
    </w:p>
    <w:p w:rsidR="00086F9B" w:rsidRDefault="00086F9B">
      <w:pPr>
        <w:pStyle w:val="ConsPlusTitle"/>
        <w:jc w:val="center"/>
      </w:pPr>
      <w:r>
        <w:t>с субъектами МСП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sectPr w:rsidR="00086F9B" w:rsidSect="00C46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2"/>
        <w:gridCol w:w="6991"/>
        <w:gridCol w:w="1625"/>
        <w:gridCol w:w="1310"/>
        <w:gridCol w:w="1625"/>
        <w:gridCol w:w="1241"/>
      </w:tblGrid>
      <w:tr w:rsidR="00086F9B" w:rsidTr="005F6F60">
        <w:tc>
          <w:tcPr>
            <w:tcW w:w="627" w:type="pct"/>
            <w:vMerge w:val="restart"/>
          </w:tcPr>
          <w:p w:rsidR="00086F9B" w:rsidRDefault="00086F9B">
            <w:pPr>
              <w:pStyle w:val="ConsPlusNormal"/>
              <w:jc w:val="center"/>
            </w:pPr>
            <w:bookmarkStart w:id="2" w:name="_GoBack"/>
            <w:r>
              <w:lastRenderedPageBreak/>
              <w:t>Область взаимодействия компании с субъектами МСП</w:t>
            </w:r>
          </w:p>
        </w:tc>
        <w:tc>
          <w:tcPr>
            <w:tcW w:w="2383" w:type="pct"/>
            <w:vMerge w:val="restart"/>
          </w:tcPr>
          <w:p w:rsidR="00086F9B" w:rsidRDefault="00086F9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64" w:type="pct"/>
            <w:gridSpan w:val="3"/>
          </w:tcPr>
          <w:p w:rsidR="00086F9B" w:rsidRDefault="00086F9B">
            <w:pPr>
              <w:pStyle w:val="ConsPlusNormal"/>
              <w:jc w:val="center"/>
            </w:pPr>
            <w:r>
              <w:t>Оценка (</w:t>
            </w:r>
            <w:proofErr w:type="spellStart"/>
            <w:r>
              <w:t>О</w:t>
            </w:r>
            <w:r>
              <w:rPr>
                <w:vertAlign w:val="superscript"/>
              </w:rPr>
              <w:t>колич</w:t>
            </w:r>
            <w:proofErr w:type="spellEnd"/>
            <w:r>
              <w:rPr>
                <w:vertAlign w:val="superscript"/>
              </w:rPr>
              <w:t>.</w:t>
            </w:r>
            <w:r>
              <w:t>)</w:t>
            </w:r>
          </w:p>
        </w:tc>
        <w:tc>
          <w:tcPr>
            <w:tcW w:w="427" w:type="pct"/>
            <w:vMerge w:val="restart"/>
          </w:tcPr>
          <w:p w:rsidR="00086F9B" w:rsidRDefault="00086F9B">
            <w:pPr>
              <w:pStyle w:val="ConsPlusNormal"/>
              <w:jc w:val="center"/>
            </w:pPr>
            <w:r>
              <w:t>Вес показателя (</w:t>
            </w:r>
            <w:proofErr w:type="gramStart"/>
            <w:r>
              <w:t>от</w:t>
            </w:r>
            <w:proofErr w:type="gramEnd"/>
            <w:r>
              <w:t xml:space="preserve"> о до 1)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557" w:type="pct"/>
          </w:tcPr>
          <w:p w:rsidR="00086F9B" w:rsidRDefault="00086F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" w:type="pct"/>
          </w:tcPr>
          <w:p w:rsidR="00086F9B" w:rsidRDefault="00086F9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57" w:type="pct"/>
          </w:tcPr>
          <w:p w:rsidR="00086F9B" w:rsidRDefault="00086F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7" w:type="pct"/>
            <w:vMerge/>
          </w:tcPr>
          <w:p w:rsidR="00086F9B" w:rsidRDefault="00086F9B">
            <w:pPr>
              <w:pStyle w:val="ConsPlusNormal"/>
            </w:pPr>
          </w:p>
        </w:tc>
      </w:tr>
      <w:tr w:rsidR="00086F9B" w:rsidTr="005F6F60">
        <w:tc>
          <w:tcPr>
            <w:tcW w:w="627" w:type="pct"/>
            <w:vMerge w:val="restar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Доступ на рынки</w:t>
            </w: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Доля субъектов МСП, победивших в закупочной процедуре, от общего числа поступивших заявок субъектов МСП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1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Количество публичных мероприятий по взаимодействию с поставщиками, направленных на привлечение субъектов МСП в процесс закупок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2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tcBorders>
              <w:bottom w:val="nil"/>
            </w:tcBorders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Доля закупок у субъектов МСП:</w:t>
            </w:r>
          </w:p>
        </w:tc>
        <w:tc>
          <w:tcPr>
            <w:tcW w:w="557" w:type="pct"/>
            <w:tcBorders>
              <w:bottom w:val="nil"/>
            </w:tcBorders>
            <w:vAlign w:val="center"/>
          </w:tcPr>
          <w:p w:rsidR="00086F9B" w:rsidRDefault="00086F9B">
            <w:pPr>
              <w:pStyle w:val="ConsPlusNormal"/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:rsidR="00086F9B" w:rsidRDefault="00086F9B">
            <w:pPr>
              <w:pStyle w:val="ConsPlusNormal"/>
            </w:pPr>
          </w:p>
        </w:tc>
        <w:tc>
          <w:tcPr>
            <w:tcW w:w="557" w:type="pct"/>
            <w:tcBorders>
              <w:bottom w:val="nil"/>
            </w:tcBorders>
            <w:vAlign w:val="center"/>
          </w:tcPr>
          <w:p w:rsidR="00086F9B" w:rsidRDefault="00086F9B">
            <w:pPr>
              <w:pStyle w:val="ConsPlusNormal"/>
            </w:pPr>
          </w:p>
        </w:tc>
        <w:tc>
          <w:tcPr>
            <w:tcW w:w="427" w:type="pct"/>
            <w:vMerge w:val="restar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3</w:t>
            </w:r>
          </w:p>
        </w:tc>
      </w:tr>
      <w:tr w:rsidR="00086F9B" w:rsidTr="005F6F60">
        <w:tblPrEx>
          <w:tblBorders>
            <w:insideH w:val="nil"/>
          </w:tblBorders>
        </w:tblPrEx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tcBorders>
              <w:top w:val="nil"/>
              <w:bottom w:val="nil"/>
            </w:tcBorders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от общего объема закупок компании за отчетный календарный год</w:t>
            </w:r>
          </w:p>
        </w:tc>
        <w:tc>
          <w:tcPr>
            <w:tcW w:w="557" w:type="pct"/>
            <w:tcBorders>
              <w:top w:val="nil"/>
              <w:bottom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25%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20 - 25%</w:t>
            </w:r>
          </w:p>
        </w:tc>
        <w:tc>
          <w:tcPr>
            <w:tcW w:w="557" w:type="pct"/>
            <w:tcBorders>
              <w:top w:val="nil"/>
              <w:bottom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20%</w:t>
            </w:r>
          </w:p>
        </w:tc>
        <w:tc>
          <w:tcPr>
            <w:tcW w:w="427" w:type="pct"/>
            <w:vMerge/>
          </w:tcPr>
          <w:p w:rsidR="00086F9B" w:rsidRDefault="00086F9B">
            <w:pPr>
              <w:pStyle w:val="ConsPlusNormal"/>
            </w:pP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tcBorders>
              <w:top w:val="nil"/>
            </w:tcBorders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ежегодный прирост от общего объема закупок у МСП</w:t>
            </w:r>
          </w:p>
        </w:tc>
        <w:tc>
          <w:tcPr>
            <w:tcW w:w="557" w:type="pct"/>
            <w:tcBorders>
              <w:top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5%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3 - 5%</w:t>
            </w:r>
          </w:p>
        </w:tc>
        <w:tc>
          <w:tcPr>
            <w:tcW w:w="557" w:type="pct"/>
            <w:tcBorders>
              <w:top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3%</w:t>
            </w:r>
          </w:p>
        </w:tc>
        <w:tc>
          <w:tcPr>
            <w:tcW w:w="427" w:type="pct"/>
            <w:vMerge/>
          </w:tcPr>
          <w:p w:rsidR="00086F9B" w:rsidRDefault="00086F9B">
            <w:pPr>
              <w:pStyle w:val="ConsPlusNormal"/>
            </w:pP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tcBorders>
              <w:bottom w:val="nil"/>
            </w:tcBorders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Доля закупок, произведенных через электронные торговые площадки:</w:t>
            </w:r>
          </w:p>
        </w:tc>
        <w:tc>
          <w:tcPr>
            <w:tcW w:w="557" w:type="pct"/>
            <w:tcBorders>
              <w:bottom w:val="nil"/>
            </w:tcBorders>
            <w:vAlign w:val="center"/>
          </w:tcPr>
          <w:p w:rsidR="00086F9B" w:rsidRDefault="00086F9B">
            <w:pPr>
              <w:pStyle w:val="ConsPlusNormal"/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:rsidR="00086F9B" w:rsidRDefault="00086F9B">
            <w:pPr>
              <w:pStyle w:val="ConsPlusNormal"/>
            </w:pPr>
          </w:p>
        </w:tc>
        <w:tc>
          <w:tcPr>
            <w:tcW w:w="557" w:type="pct"/>
            <w:tcBorders>
              <w:bottom w:val="nil"/>
            </w:tcBorders>
            <w:vAlign w:val="center"/>
          </w:tcPr>
          <w:p w:rsidR="00086F9B" w:rsidRDefault="00086F9B">
            <w:pPr>
              <w:pStyle w:val="ConsPlusNormal"/>
            </w:pPr>
          </w:p>
        </w:tc>
        <w:tc>
          <w:tcPr>
            <w:tcW w:w="427" w:type="pct"/>
            <w:vMerge w:val="restar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4</w:t>
            </w:r>
          </w:p>
        </w:tc>
      </w:tr>
      <w:tr w:rsidR="00086F9B" w:rsidTr="005F6F60">
        <w:tblPrEx>
          <w:tblBorders>
            <w:insideH w:val="nil"/>
          </w:tblBorders>
        </w:tblPrEx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tcBorders>
              <w:top w:val="nil"/>
              <w:bottom w:val="nil"/>
            </w:tcBorders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от общего числа закупок компании за отчетный календарный год</w:t>
            </w:r>
          </w:p>
        </w:tc>
        <w:tc>
          <w:tcPr>
            <w:tcW w:w="557" w:type="pct"/>
            <w:tcBorders>
              <w:top w:val="nil"/>
              <w:bottom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25%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20 - 25%</w:t>
            </w:r>
          </w:p>
        </w:tc>
        <w:tc>
          <w:tcPr>
            <w:tcW w:w="557" w:type="pct"/>
            <w:tcBorders>
              <w:top w:val="nil"/>
              <w:bottom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20%</w:t>
            </w:r>
          </w:p>
        </w:tc>
        <w:tc>
          <w:tcPr>
            <w:tcW w:w="427" w:type="pct"/>
            <w:vMerge/>
          </w:tcPr>
          <w:p w:rsidR="00086F9B" w:rsidRDefault="00086F9B">
            <w:pPr>
              <w:pStyle w:val="ConsPlusNormal"/>
            </w:pP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tcBorders>
              <w:top w:val="nil"/>
            </w:tcBorders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ежегодный прирост от общего объема закупок у МСП</w:t>
            </w:r>
          </w:p>
        </w:tc>
        <w:tc>
          <w:tcPr>
            <w:tcW w:w="557" w:type="pct"/>
            <w:tcBorders>
              <w:top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5%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3 - 5%</w:t>
            </w:r>
          </w:p>
        </w:tc>
        <w:tc>
          <w:tcPr>
            <w:tcW w:w="557" w:type="pct"/>
            <w:tcBorders>
              <w:top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3%</w:t>
            </w:r>
          </w:p>
        </w:tc>
        <w:tc>
          <w:tcPr>
            <w:tcW w:w="427" w:type="pct"/>
            <w:vMerge/>
          </w:tcPr>
          <w:p w:rsidR="00086F9B" w:rsidRDefault="00086F9B">
            <w:pPr>
              <w:pStyle w:val="ConsPlusNormal"/>
            </w:pP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tcBorders>
              <w:bottom w:val="nil"/>
            </w:tcBorders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Доля субъектов МСП среди участников электронных торгов:</w:t>
            </w:r>
          </w:p>
        </w:tc>
        <w:tc>
          <w:tcPr>
            <w:tcW w:w="557" w:type="pct"/>
            <w:tcBorders>
              <w:bottom w:val="nil"/>
            </w:tcBorders>
            <w:vAlign w:val="center"/>
          </w:tcPr>
          <w:p w:rsidR="00086F9B" w:rsidRDefault="00086F9B">
            <w:pPr>
              <w:pStyle w:val="ConsPlusNormal"/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:rsidR="00086F9B" w:rsidRDefault="00086F9B">
            <w:pPr>
              <w:pStyle w:val="ConsPlusNormal"/>
            </w:pPr>
          </w:p>
        </w:tc>
        <w:tc>
          <w:tcPr>
            <w:tcW w:w="557" w:type="pct"/>
            <w:tcBorders>
              <w:bottom w:val="nil"/>
            </w:tcBorders>
            <w:vAlign w:val="center"/>
          </w:tcPr>
          <w:p w:rsidR="00086F9B" w:rsidRDefault="00086F9B">
            <w:pPr>
              <w:pStyle w:val="ConsPlusNormal"/>
            </w:pPr>
          </w:p>
        </w:tc>
        <w:tc>
          <w:tcPr>
            <w:tcW w:w="427" w:type="pct"/>
            <w:vMerge w:val="restar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5</w:t>
            </w:r>
          </w:p>
        </w:tc>
      </w:tr>
      <w:tr w:rsidR="00086F9B" w:rsidTr="005F6F60">
        <w:tblPrEx>
          <w:tblBorders>
            <w:insideH w:val="nil"/>
          </w:tblBorders>
        </w:tblPrEx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tcBorders>
              <w:top w:val="nil"/>
              <w:bottom w:val="nil"/>
            </w:tcBorders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от общего объема закупок компании за отчетный календарный год</w:t>
            </w:r>
          </w:p>
        </w:tc>
        <w:tc>
          <w:tcPr>
            <w:tcW w:w="557" w:type="pct"/>
            <w:tcBorders>
              <w:top w:val="nil"/>
              <w:bottom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25%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20 - 25%</w:t>
            </w:r>
          </w:p>
        </w:tc>
        <w:tc>
          <w:tcPr>
            <w:tcW w:w="557" w:type="pct"/>
            <w:tcBorders>
              <w:top w:val="nil"/>
              <w:bottom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20%</w:t>
            </w:r>
          </w:p>
        </w:tc>
        <w:tc>
          <w:tcPr>
            <w:tcW w:w="427" w:type="pct"/>
            <w:vMerge/>
          </w:tcPr>
          <w:p w:rsidR="00086F9B" w:rsidRDefault="00086F9B">
            <w:pPr>
              <w:pStyle w:val="ConsPlusNormal"/>
            </w:pP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tcBorders>
              <w:top w:val="nil"/>
            </w:tcBorders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ежегодный прирост от общего объема закупок у МСП</w:t>
            </w:r>
          </w:p>
        </w:tc>
        <w:tc>
          <w:tcPr>
            <w:tcW w:w="557" w:type="pct"/>
            <w:tcBorders>
              <w:top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5%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3 - 5%</w:t>
            </w:r>
          </w:p>
        </w:tc>
        <w:tc>
          <w:tcPr>
            <w:tcW w:w="557" w:type="pct"/>
            <w:tcBorders>
              <w:top w:val="nil"/>
            </w:tcBorders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3%</w:t>
            </w:r>
          </w:p>
        </w:tc>
        <w:tc>
          <w:tcPr>
            <w:tcW w:w="427" w:type="pct"/>
            <w:vMerge/>
          </w:tcPr>
          <w:p w:rsidR="00086F9B" w:rsidRDefault="00086F9B">
            <w:pPr>
              <w:pStyle w:val="ConsPlusNormal"/>
            </w:pPr>
          </w:p>
        </w:tc>
      </w:tr>
      <w:tr w:rsidR="00086F9B" w:rsidTr="005F6F60">
        <w:tc>
          <w:tcPr>
            <w:tcW w:w="627" w:type="pct"/>
            <w:vMerge w:val="restar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Модернизация производственных и административных процессов</w:t>
            </w: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Количество субъектов МСП, участвующих в программах по акселерации субъектов МСП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6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Количество консультаций для субъектов МСП по вопросам получения сертификатов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7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Количество субъектов МСП, получивших консультации по вопросам получения сертификатов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8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 xml:space="preserve">Количество консультаций для МСП по вопросам ответственного </w:t>
            </w:r>
            <w:r>
              <w:lastRenderedPageBreak/>
              <w:t>ведения бизнеса, повышения эффективности работы производственных и административно-управленческих систем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lastRenderedPageBreak/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9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Количество субъектов МСП, получивших консультации по вопросам ответственного ведения бизнеса, повышения эффективности работы производственных и административно-управленческих систем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10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Количество МСП, внедривших при поддержке компании технологические решения, направленные на оптимизацию производственных процессов и уменьшение воздействия на окружающую среду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11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Количество субъектов МСП, получивших поддержку компании по внедрению инновационных решений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12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Количество реализованных цифровых решений для МСП (1С, ЭДО, CRM)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13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Количество субъектов МСП, получивших поддержку компании при проведении различных исследовательских мероприятий и реализации инициатив в сфере научно-исследовательских и опытно-конструкторских работ (НИОКР)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14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Количество заключенных договоров с МСП, способствующих минимизации воздействия на окружающую среду при поддержке компании крупного бизнеса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15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Оказание консультационной поддержки клиентам в развитии системы управления климатическими рисками и возможностями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16</w:t>
            </w:r>
          </w:p>
        </w:tc>
      </w:tr>
      <w:tr w:rsidR="00086F9B" w:rsidTr="005F6F60">
        <w:tc>
          <w:tcPr>
            <w:tcW w:w="627" w:type="pct"/>
            <w:vMerge w:val="restar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Доступ к инфраструктуре</w:t>
            </w: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Количество субъектов МСП, получивших при поддержке компании доступ к продвижению продукции и услуг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17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Доля субъектов МСП, принявших участие в тематических региональных и межрегиональных выставках, ярмарках и фестивалях, организованных компанией, от общего числа участников данных мероприятий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18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 xml:space="preserve">Доля субъектов МСП, получивших доступ к специализированным платформам и вспомогательным сервисам компании, предоставляющим </w:t>
            </w:r>
            <w:r>
              <w:lastRenderedPageBreak/>
              <w:t>консультации по организации производственных процессов от общего числа субъектов, получивших такой доступ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lastRenderedPageBreak/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19</w:t>
            </w:r>
          </w:p>
        </w:tc>
      </w:tr>
      <w:tr w:rsidR="00086F9B" w:rsidTr="005F6F60">
        <w:tc>
          <w:tcPr>
            <w:tcW w:w="627" w:type="pct"/>
            <w:vMerge w:val="restar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lastRenderedPageBreak/>
              <w:t>Доступ к финансированию</w:t>
            </w: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Доля субъектов МСП, получивших консультативную поддержку компании в организации процесса привлечения финансирования, в организации выпуска и размещения финансовых инструментов от общего числа субъектов, получивших данный вид поддержки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20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Доля субъектов МСП, собственники и руководители которых, при поддержке компании прошли обучение финансовой грамотности от общего числа субъектов, получивших данный вид поддержки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21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 xml:space="preserve">Доля субъектов МСП, получивших гранты на разработку и внедрение наилучших доступных технологий, способствующих уменьшению негативного воздействия на окружающую среду и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от общего числа субъектов, получивших данный вид поддержки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22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Доля субъектов МСП, осуществляющих деятельность в сфере социального предпринимательства и производящих продукцию и (или) предоставляющих социально значимые услуги, направленные на развитие местных сообществ, получивших при поддержке компании гранты, поручительства, заемные средства на льготных условиях от общего числа субъектов, получивших данный вид поддержки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23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Доля субъектов МСП, заключивших договоры франчайзинга от общего количества заключенных договоров франчайзинга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24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Доля субъектов МСП - поставщиков продукции, получивших авансирование больше 30% от цены контракта от общего числа поставщиков субъектов МСП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30%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20 - 30%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20%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25</w:t>
            </w:r>
          </w:p>
        </w:tc>
      </w:tr>
      <w:tr w:rsidR="00086F9B" w:rsidTr="005F6F60">
        <w:tc>
          <w:tcPr>
            <w:tcW w:w="627" w:type="pct"/>
            <w:vMerge w:val="restar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Развитие человеческого капитала</w:t>
            </w: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 xml:space="preserve">Доля субъектов МСП, принявших участие в программах компании (включая краткосрочные курсы, консультации, тренинги, программы наставничества и </w:t>
            </w:r>
            <w:proofErr w:type="spellStart"/>
            <w:r>
              <w:t>менторства</w:t>
            </w:r>
            <w:proofErr w:type="spellEnd"/>
            <w:r>
              <w:t>), по повышению качества менеджмента, управления персоналом, увеличению производительности труда, реализации проектов социального предпринимательства, выходу на новые рынки, от общего числа субъектов, получивших данный вид поддержки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26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Доля субъектов МСП, получивших консультации компании по вопросам получения российских и международных образовательных сертификатов, прохождению тендеров у компаний-партнеров от общего числа субъектов, получивших данный вид поддержки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27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Количество мероприятий, проведенных компанией, в целях обмена опытом между сотрудниками компании и сотрудниками субъектов МСП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28</w:t>
            </w:r>
          </w:p>
        </w:tc>
      </w:tr>
      <w:tr w:rsidR="00086F9B" w:rsidTr="005F6F60">
        <w:tc>
          <w:tcPr>
            <w:tcW w:w="627" w:type="pct"/>
            <w:vMerge/>
          </w:tcPr>
          <w:p w:rsidR="00086F9B" w:rsidRDefault="00086F9B">
            <w:pPr>
              <w:pStyle w:val="ConsPlusNormal"/>
            </w:pPr>
          </w:p>
        </w:tc>
        <w:tc>
          <w:tcPr>
            <w:tcW w:w="2383" w:type="pct"/>
            <w:vAlign w:val="center"/>
          </w:tcPr>
          <w:p w:rsidR="00086F9B" w:rsidRDefault="00086F9B">
            <w:pPr>
              <w:pStyle w:val="ConsPlusNormal"/>
              <w:ind w:firstLine="283"/>
              <w:jc w:val="both"/>
            </w:pPr>
            <w:r>
              <w:t>Доля субъектов МСП, сотрудники которых приняли участие в обучающих семинарах, стажировках, мастер-классах, тренингах и реализации программ наставничества при поддержке компании от общего числа субъектов, получивших данный вид поддержки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&gt; среднего</w:t>
            </w:r>
          </w:p>
        </w:tc>
        <w:tc>
          <w:tcPr>
            <w:tcW w:w="450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55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&lt; среднего</w:t>
            </w:r>
          </w:p>
        </w:tc>
        <w:tc>
          <w:tcPr>
            <w:tcW w:w="427" w:type="pct"/>
            <w:vAlign w:val="center"/>
          </w:tcPr>
          <w:p w:rsidR="00086F9B" w:rsidRDefault="00086F9B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29</w:t>
            </w:r>
          </w:p>
        </w:tc>
      </w:tr>
      <w:bookmarkEnd w:id="2"/>
    </w:tbl>
    <w:p w:rsidR="00086F9B" w:rsidRDefault="00086F9B">
      <w:pPr>
        <w:pStyle w:val="ConsPlusNormal"/>
        <w:sectPr w:rsidR="00086F9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Title"/>
        <w:jc w:val="center"/>
        <w:outlineLvl w:val="0"/>
      </w:pPr>
      <w:r>
        <w:t>АЛГОРИТМ</w:t>
      </w:r>
    </w:p>
    <w:p w:rsidR="00086F9B" w:rsidRDefault="00086F9B">
      <w:pPr>
        <w:pStyle w:val="ConsPlusTitle"/>
        <w:jc w:val="center"/>
      </w:pPr>
      <w:r>
        <w:t>ПРИСОЕДИНЕНИЯ К ДЕКЛАРАЦИИ ВЗАИМОДЕЙСТВИЯ КРУПНОГО БИЗНЕСА</w:t>
      </w:r>
    </w:p>
    <w:p w:rsidR="00086F9B" w:rsidRDefault="00086F9B">
      <w:pPr>
        <w:pStyle w:val="ConsPlusTitle"/>
        <w:jc w:val="center"/>
      </w:pPr>
      <w:r>
        <w:t>С СУБЪЕКТАМИ МАЛОГО И СРЕДНЕГО ПРЕДПРИНИМАТЕЛЬСТВА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ind w:firstLine="540"/>
        <w:jc w:val="both"/>
      </w:pPr>
      <w:r>
        <w:t>Декларация взаимодействия крупного бизнеса с субъектами малого и среднего предпринимательства (далее - Декларация) разработана Минэкономразвития России и утверждена Российским союзом промышленников и предпринимателей, общероссийской общественной организацией "Деловая Россия" и Торгово-промышленной палатой Российской Федерации.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Текст Декларации размещен на официальном сайте Минэкономразвития России, а также сайтах деловых ассоциаций, одобривших Декларацию.</w:t>
      </w:r>
    </w:p>
    <w:p w:rsidR="00086F9B" w:rsidRDefault="00086F9B">
      <w:pPr>
        <w:pStyle w:val="ConsPlusNormal"/>
        <w:ind w:firstLine="540"/>
        <w:jc w:val="both"/>
      </w:pPr>
    </w:p>
    <w:p w:rsidR="00086F9B" w:rsidRDefault="00086F9B">
      <w:pPr>
        <w:pStyle w:val="ConsPlusTitle"/>
        <w:ind w:firstLine="540"/>
        <w:jc w:val="both"/>
        <w:outlineLvl w:val="1"/>
      </w:pPr>
      <w:r>
        <w:t>Порядок действий для присоединения к Декларации: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1. Основанием присоединения к Декларации является письмо за подписью руководителя компании с подтверждением намерения присоединиться и указанием данных лица, ответственного в компании за данную работу (ФИО, должность, номер телефона и адрес электронной почты) в адрес деловой ассоциации, членом которой является компания.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2. Деловые ассоциации, одобрившие Декларацию, ежемесячно направляют в Минэкономразвития России и общероссийскую общественную организацию "ОПОРА РОССИИ" сведения о компаниях - членах деловых ассоциаций, присоединившихся к Декларации.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3. Компании, не являющиеся членами деловых ассоциаций, но желающие присоединиться к Декларации, направляют письмо в Минэкономразвития России и общероссийскую общественную организацию "ОПОРА РОССИИ".</w:t>
      </w:r>
    </w:p>
    <w:p w:rsidR="00086F9B" w:rsidRDefault="00086F9B">
      <w:pPr>
        <w:pStyle w:val="ConsPlusNormal"/>
        <w:spacing w:before="200"/>
        <w:ind w:firstLine="540"/>
        <w:jc w:val="both"/>
      </w:pPr>
      <w:r>
        <w:t>4. Общероссийская общественная организация "ОПОРА РОССИИ" ведет единый реестр компаний, присоединившихся к Декларации. Реестр публикуется на сайте общероссийской общественной организации "ОПОРА РОССИИ" и обновляется ежемесячно.</w:t>
      </w: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jc w:val="both"/>
      </w:pPr>
    </w:p>
    <w:p w:rsidR="00086F9B" w:rsidRDefault="00086F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6E5" w:rsidRDefault="004F56E5"/>
    <w:sectPr w:rsidR="004F56E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9B"/>
    <w:rsid w:val="00086F9B"/>
    <w:rsid w:val="00426B71"/>
    <w:rsid w:val="004F56E5"/>
    <w:rsid w:val="005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71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F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6F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6F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71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F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6F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6F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61B425C45E4DB5D9B1609E5840A66CE431907CDE7CBC2AB9592BADE1CAE85A6FA1A34635131538FC0222CE35D19086B92D1673Db2R4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Крутова Татьяна Юрьевна</dc:creator>
  <cp:lastModifiedBy>Крутова Татьяна Юрьевна</cp:lastModifiedBy>
  <cp:revision>2</cp:revision>
  <dcterms:created xsi:type="dcterms:W3CDTF">2023-05-30T13:17:00Z</dcterms:created>
  <dcterms:modified xsi:type="dcterms:W3CDTF">2023-05-30T13:30:00Z</dcterms:modified>
</cp:coreProperties>
</file>