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90" w:rsidRDefault="00932A9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32A90" w:rsidRDefault="00932A90">
      <w:pPr>
        <w:pStyle w:val="ConsPlusNormal"/>
        <w:jc w:val="both"/>
        <w:outlineLvl w:val="0"/>
      </w:pPr>
    </w:p>
    <w:p w:rsidR="00932A90" w:rsidRDefault="00932A90">
      <w:pPr>
        <w:pStyle w:val="ConsPlusTitle"/>
        <w:jc w:val="center"/>
      </w:pPr>
      <w:r>
        <w:t>ФЕДЕРАЛЬНАЯ АНТИМОНОПОЛЬНАЯ СЛУЖБА</w:t>
      </w:r>
    </w:p>
    <w:p w:rsidR="00932A90" w:rsidRDefault="00932A90">
      <w:pPr>
        <w:pStyle w:val="ConsPlusTitle"/>
        <w:jc w:val="center"/>
      </w:pPr>
    </w:p>
    <w:p w:rsidR="00932A90" w:rsidRDefault="00932A90">
      <w:pPr>
        <w:pStyle w:val="ConsPlusTitle"/>
        <w:jc w:val="center"/>
      </w:pPr>
      <w:r>
        <w:t>ПИСЬМО</w:t>
      </w:r>
    </w:p>
    <w:p w:rsidR="00932A90" w:rsidRDefault="00932A90">
      <w:pPr>
        <w:pStyle w:val="ConsPlusTitle"/>
        <w:jc w:val="center"/>
      </w:pPr>
      <w:r>
        <w:t>от 16 мая 2023 г. N ТН/37551/23</w:t>
      </w:r>
    </w:p>
    <w:p w:rsidR="00932A90" w:rsidRDefault="00932A90">
      <w:pPr>
        <w:pStyle w:val="ConsPlusTitle"/>
        <w:jc w:val="center"/>
      </w:pPr>
    </w:p>
    <w:p w:rsidR="00932A90" w:rsidRDefault="00932A90">
      <w:pPr>
        <w:pStyle w:val="ConsPlusTitle"/>
        <w:jc w:val="center"/>
      </w:pPr>
      <w:r>
        <w:t>О ФОРМИРОВАНИИ ДОКУМЕНТАЦИИ О ЗАКУПКЕ МЕДИЦИНСКИХ ИЗДЕЛИЙ</w:t>
      </w:r>
    </w:p>
    <w:p w:rsidR="00932A90" w:rsidRDefault="00932A90">
      <w:pPr>
        <w:pStyle w:val="ConsPlusNormal"/>
        <w:ind w:firstLine="540"/>
        <w:jc w:val="both"/>
      </w:pPr>
    </w:p>
    <w:p w:rsidR="00932A90" w:rsidRDefault="00932A90">
      <w:pPr>
        <w:pStyle w:val="ConsPlusNormal"/>
        <w:ind w:firstLine="540"/>
        <w:jc w:val="both"/>
      </w:pPr>
      <w:r>
        <w:t>В связи с обращениями хозяйствующих субъектов по вопросу установления государственными и муниципальными заказчиками требований к определенному классу потенциального риска применения медицинских изделий при описании объекта закупки Федеральная антимонопольная служба сообщает следующее.</w:t>
      </w:r>
    </w:p>
    <w:p w:rsidR="00932A90" w:rsidRDefault="00932A90">
      <w:pPr>
        <w:pStyle w:val="ConsPlusNormal"/>
        <w:spacing w:before="200"/>
        <w:ind w:firstLine="540"/>
        <w:jc w:val="both"/>
      </w:pPr>
      <w:r>
        <w:t xml:space="preserve">Согласно </w:t>
      </w:r>
      <w:hyperlink r:id="rId5">
        <w:r>
          <w:rPr>
            <w:color w:val="0000FF"/>
          </w:rPr>
          <w:t>части 1 статьи 33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заказчик при описании объекта закупки указывает функциональные, технические и качественные характеристики, эксплуатационные характеристики объекта закупки (при необходимости). При этом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w:t>
      </w:r>
    </w:p>
    <w:p w:rsidR="00932A90" w:rsidRDefault="00932A90">
      <w:pPr>
        <w:pStyle w:val="ConsPlusNormal"/>
        <w:spacing w:before="200"/>
        <w:ind w:firstLine="540"/>
        <w:jc w:val="both"/>
      </w:pPr>
      <w:r>
        <w:t xml:space="preserve">Учитывая изложенное, установление в извещении об осуществлении закупки, документации о закупке (в случае, если </w:t>
      </w:r>
      <w:hyperlink r:id="rId6">
        <w:r>
          <w:rPr>
            <w:color w:val="0000FF"/>
          </w:rPr>
          <w:t>Законом</w:t>
        </w:r>
      </w:hyperlink>
      <w:r>
        <w:t xml:space="preserve"> о контрактной системе предусмотрена документация о закупке) требований к поставляемым товарам, совокупности характеристик, которым соответствует продукция определенного производителя, не соответствует </w:t>
      </w:r>
      <w:hyperlink r:id="rId7">
        <w:r>
          <w:rPr>
            <w:color w:val="0000FF"/>
          </w:rPr>
          <w:t>Закону</w:t>
        </w:r>
      </w:hyperlink>
      <w:r>
        <w:t xml:space="preserve"> о контрактной системе.</w:t>
      </w:r>
    </w:p>
    <w:p w:rsidR="00932A90" w:rsidRDefault="00932A90">
      <w:pPr>
        <w:pStyle w:val="ConsPlusNormal"/>
        <w:spacing w:before="200"/>
        <w:ind w:firstLine="540"/>
        <w:jc w:val="both"/>
      </w:pPr>
      <w:r>
        <w:t xml:space="preserve">В соответствии со </w:t>
      </w:r>
      <w:hyperlink r:id="rId8">
        <w:r>
          <w:rPr>
            <w:color w:val="0000FF"/>
          </w:rPr>
          <w:t>статьей 17</w:t>
        </w:r>
      </w:hyperlink>
      <w:r>
        <w:t xml:space="preserve"> Федерального закона от 26.07.2006 N 135-ФЗ "О защите конкуренции" (далее - Закон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При этом,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932A90" w:rsidRDefault="00932A90">
      <w:pPr>
        <w:pStyle w:val="ConsPlusNormal"/>
        <w:spacing w:before="200"/>
        <w:ind w:firstLine="540"/>
        <w:jc w:val="both"/>
      </w:pPr>
      <w:r>
        <w:t xml:space="preserve">На основании </w:t>
      </w:r>
      <w:hyperlink r:id="rId9">
        <w:r>
          <w:rPr>
            <w:color w:val="0000FF"/>
          </w:rPr>
          <w:t>части 1 статьи 25</w:t>
        </w:r>
      </w:hyperlink>
      <w:r>
        <w:t xml:space="preserve"> Закона о защите конкуренции в Росздравнадзор направлен запрос ФАС России от 27.01.2023 N ТН/5529/23 о взаимозаменяемости медицинских изделий разных классов потенциального риска применения.</w:t>
      </w:r>
    </w:p>
    <w:p w:rsidR="00932A90" w:rsidRDefault="00932A90">
      <w:pPr>
        <w:pStyle w:val="ConsPlusNormal"/>
        <w:spacing w:before="200"/>
        <w:ind w:firstLine="540"/>
        <w:jc w:val="both"/>
      </w:pPr>
      <w:r>
        <w:t>Письмом от 03.02.2023 N 01-5832/23 Федеральная служба по надзору в сфере здравоохранения сообщила следующее.</w:t>
      </w:r>
    </w:p>
    <w:p w:rsidR="00932A90" w:rsidRDefault="00932A90">
      <w:pPr>
        <w:pStyle w:val="ConsPlusNormal"/>
        <w:spacing w:before="200"/>
        <w:ind w:firstLine="540"/>
        <w:jc w:val="both"/>
      </w:pPr>
      <w:r>
        <w:t xml:space="preserve">В соответствии с </w:t>
      </w:r>
      <w:hyperlink r:id="rId10">
        <w:r>
          <w:rPr>
            <w:color w:val="0000FF"/>
          </w:rPr>
          <w:t>частью 4 статьи 38</w:t>
        </w:r>
      </w:hyperlink>
      <w:r>
        <w:t xml:space="preserve"> Федерального закона от 21.11.2011 N 323-ФЗ "Об основах охраны здоровья граждан в Российской Федерации" (далее - Закон об охране здоровья граждан)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(далее - Союз).</w:t>
      </w:r>
    </w:p>
    <w:p w:rsidR="00932A90" w:rsidRDefault="00932A90">
      <w:pPr>
        <w:pStyle w:val="ConsPlusNormal"/>
        <w:spacing w:before="200"/>
        <w:ind w:firstLine="540"/>
        <w:jc w:val="both"/>
      </w:pPr>
      <w:r>
        <w:t xml:space="preserve">В соответствии с </w:t>
      </w:r>
      <w:hyperlink r:id="rId11">
        <w:r>
          <w:rPr>
            <w:color w:val="0000FF"/>
          </w:rPr>
          <w:t>частью 2 статьи 38</w:t>
        </w:r>
      </w:hyperlink>
      <w:r>
        <w:t xml:space="preserve"> Закона об охране здоровья граждан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При этом Номенклатурная </w:t>
      </w:r>
      <w:hyperlink r:id="rId12">
        <w:r>
          <w:rPr>
            <w:color w:val="0000FF"/>
          </w:rPr>
          <w:t>классификация</w:t>
        </w:r>
      </w:hyperlink>
      <w:r>
        <w:t xml:space="preserve"> медицинских изделий по классам в зависимости от потенциального риска их применения в рамках национального законодательства утверждена приказом Минздрава России от 06.06.2012 N 4н (вступил в силу с 04.11.2012; далее - Номенклатурная классификация по классам), а </w:t>
      </w:r>
      <w:hyperlink r:id="rId13">
        <w:r>
          <w:rPr>
            <w:color w:val="0000FF"/>
          </w:rPr>
          <w:t>Правила</w:t>
        </w:r>
      </w:hyperlink>
      <w:r>
        <w:t xml:space="preserve"> классификации медицинских изделий в зависимости от потенциального риска применения в рамках законодательства Союза утверждены решением Коллегии Евразийской </w:t>
      </w:r>
      <w:r>
        <w:lastRenderedPageBreak/>
        <w:t>экономической комиссии от 22.12.2015 N 173 (вступило в силу с 26.04.2017).</w:t>
      </w:r>
    </w:p>
    <w:p w:rsidR="00932A90" w:rsidRDefault="00932A90">
      <w:pPr>
        <w:pStyle w:val="ConsPlusNormal"/>
        <w:spacing w:before="200"/>
        <w:ind w:firstLine="540"/>
        <w:jc w:val="both"/>
      </w:pPr>
      <w:r>
        <w:t xml:space="preserve">Таким образом, на примере и национального, и союзного законодательства, действующего на территории Российской Федерации, можно увидеть, что в международной практике существуют различные подходы к классификации медицинских изделий по классам потенциального риска применения. Вместе с тем принцип разделения медицинских изделий на классы потенциального риска применения является неотъемлемой частью любой регуляторной системы, так как именно данный принцип позволяет внедрить риск-ориентированный подход как при регистрации медицинского изделия (примером может служить </w:t>
      </w:r>
      <w:hyperlink r:id="rId14">
        <w:r>
          <w:rPr>
            <w:color w:val="0000FF"/>
          </w:rPr>
          <w:t>перечень</w:t>
        </w:r>
      </w:hyperlink>
      <w:r>
        <w:t xml:space="preserve"> документов, необходимых для регистрации медицинского изделия, представленный в приложении N 4 к Правилам регистрации и экспертизы безопасности, качества и эффективности медицинских изделий, утвержденным решением Совета Евразийской экономической комиссии от 12.02.2016 N 46, или наличие упрощенных процедур государственной регистрации), так и при его последующем обращении (например, необходимость представления отчетов о клиническом мониторинге в регистрирующий орган).</w:t>
      </w:r>
    </w:p>
    <w:p w:rsidR="00932A90" w:rsidRDefault="00932A90">
      <w:pPr>
        <w:pStyle w:val="ConsPlusNormal"/>
        <w:spacing w:before="200"/>
        <w:ind w:firstLine="540"/>
        <w:jc w:val="both"/>
      </w:pPr>
      <w:r>
        <w:t>В связи с этим указание в отношении медицинского изделия класса потенциального риска применения и его подтверждение в ходе проведения экспертизы является обязательной частью процедуры регистрации.</w:t>
      </w:r>
    </w:p>
    <w:p w:rsidR="00932A90" w:rsidRDefault="00932A90">
      <w:pPr>
        <w:pStyle w:val="ConsPlusNormal"/>
        <w:spacing w:before="200"/>
        <w:ind w:firstLine="540"/>
        <w:jc w:val="both"/>
      </w:pPr>
      <w:r>
        <w:t xml:space="preserve">В соответствии с </w:t>
      </w:r>
      <w:hyperlink r:id="rId15">
        <w:r>
          <w:rPr>
            <w:color w:val="0000FF"/>
          </w:rPr>
          <w:t>частью 1 статьи 38</w:t>
        </w:r>
      </w:hyperlink>
      <w:r>
        <w:t xml:space="preserve"> Закона об охране здоровья граждан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 При этом в соответствии с законодательством Союза при доказательстве эквивалентности медицинских изделий используются следующие условия (</w:t>
      </w:r>
      <w:hyperlink r:id="rId16">
        <w:r>
          <w:rPr>
            <w:color w:val="0000FF"/>
          </w:rPr>
          <w:t>пункт 6</w:t>
        </w:r>
      </w:hyperlink>
      <w:r>
        <w:t xml:space="preserve"> Правил проведения клинических и клинико-лабораторных испытаний (исследований) медицинских изделий, утвержденных решением Совета Евразийской экономической комиссии от 12.02.2016 N 29):</w:t>
      </w:r>
    </w:p>
    <w:p w:rsidR="00932A90" w:rsidRDefault="00932A90">
      <w:pPr>
        <w:pStyle w:val="ConsPlusNormal"/>
        <w:spacing w:before="200"/>
        <w:ind w:firstLine="540"/>
        <w:jc w:val="both"/>
      </w:pPr>
      <w:r>
        <w:t>а) рассматриваемые медицинские изделия имеют одинаковое назначение;</w:t>
      </w:r>
    </w:p>
    <w:p w:rsidR="00932A90" w:rsidRDefault="00932A90">
      <w:pPr>
        <w:pStyle w:val="ConsPlusNormal"/>
        <w:spacing w:before="200"/>
        <w:ind w:firstLine="540"/>
        <w:jc w:val="both"/>
      </w:pPr>
      <w:r>
        <w:t>б) технические и биологические характеристики рассматриваемых медицинских изделий одинаковы в той степени, которая гарантирует отсутствие различий в их клинической эффективности и безопасности.</w:t>
      </w:r>
    </w:p>
    <w:p w:rsidR="00932A90" w:rsidRDefault="00932A90">
      <w:pPr>
        <w:pStyle w:val="ConsPlusNormal"/>
        <w:spacing w:before="200"/>
        <w:ind w:firstLine="540"/>
        <w:jc w:val="both"/>
      </w:pPr>
      <w:r>
        <w:t>Таким образом, класс потенциального риска применения не поименован в качестве характеристики, на основе анализа которой изделия могут быть признаны взаимозаменяемыми (эквивалентными). Вне зависимости от класса риска, присвоенного медицинским изделиям, прошедшим процедуру регистрации в установленном порядке, выданные регистрационные удостоверения подтверждают факт регистрации, что, в свою очередь, свидетельствует о качестве, эффективности и безопасности указанных изделий.</w:t>
      </w:r>
    </w:p>
    <w:p w:rsidR="00932A90" w:rsidRDefault="00932A90">
      <w:pPr>
        <w:pStyle w:val="ConsPlusNormal"/>
        <w:spacing w:before="200"/>
        <w:ind w:firstLine="540"/>
        <w:jc w:val="both"/>
      </w:pPr>
      <w:r>
        <w:t xml:space="preserve">На основании изложенного, с учетом позиции Росздравнадзора, ФАС России разъясняет, что класс потенциального риска медицинского изделия не является терапевтически или </w:t>
      </w:r>
      <w:proofErr w:type="spellStart"/>
      <w:r>
        <w:t>диагностически</w:t>
      </w:r>
      <w:proofErr w:type="spellEnd"/>
      <w:r>
        <w:t xml:space="preserve"> значимой характеристикой, а включение в описание объекта закупки требований о соответствии медицинских изделий определенному классу потенциального риска применения может привести к сокращению количества участников закупки и не соответствует </w:t>
      </w:r>
      <w:hyperlink r:id="rId17">
        <w:r>
          <w:rPr>
            <w:color w:val="0000FF"/>
          </w:rPr>
          <w:t>Закону</w:t>
        </w:r>
      </w:hyperlink>
      <w:r>
        <w:t xml:space="preserve"> о контрактной системе и </w:t>
      </w:r>
      <w:hyperlink r:id="rId18">
        <w:r>
          <w:rPr>
            <w:color w:val="0000FF"/>
          </w:rPr>
          <w:t>Закону</w:t>
        </w:r>
      </w:hyperlink>
      <w:r>
        <w:t xml:space="preserve"> о защите конкуренции.</w:t>
      </w:r>
    </w:p>
    <w:p w:rsidR="00932A90" w:rsidRDefault="00932A90">
      <w:pPr>
        <w:pStyle w:val="ConsPlusNormal"/>
        <w:ind w:firstLine="540"/>
        <w:jc w:val="both"/>
      </w:pPr>
    </w:p>
    <w:p w:rsidR="00932A90" w:rsidRDefault="00932A90">
      <w:pPr>
        <w:pStyle w:val="ConsPlusNormal"/>
        <w:jc w:val="right"/>
      </w:pPr>
      <w:r>
        <w:t>Т.В.НИЖЕГОРОДЦЕВ</w:t>
      </w:r>
    </w:p>
    <w:p w:rsidR="00932A90" w:rsidRDefault="00932A90">
      <w:pPr>
        <w:pStyle w:val="ConsPlusNormal"/>
        <w:jc w:val="both"/>
      </w:pPr>
    </w:p>
    <w:p w:rsidR="00932A90" w:rsidRDefault="00932A90">
      <w:pPr>
        <w:pStyle w:val="ConsPlusNormal"/>
        <w:jc w:val="both"/>
      </w:pPr>
    </w:p>
    <w:p w:rsidR="00932A90" w:rsidRDefault="00932A90">
      <w:pPr>
        <w:pStyle w:val="ConsPlusNormal"/>
        <w:pBdr>
          <w:bottom w:val="single" w:sz="6" w:space="0" w:color="auto"/>
        </w:pBdr>
        <w:spacing w:before="100" w:after="100"/>
        <w:jc w:val="both"/>
        <w:rPr>
          <w:sz w:val="2"/>
          <w:szCs w:val="2"/>
        </w:rPr>
      </w:pPr>
    </w:p>
    <w:p w:rsidR="00C735DF" w:rsidRDefault="00C735DF">
      <w:bookmarkStart w:id="0" w:name="_GoBack"/>
      <w:bookmarkEnd w:id="0"/>
    </w:p>
    <w:sectPr w:rsidR="00C735DF" w:rsidSect="00290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90"/>
    <w:rsid w:val="00932A90"/>
    <w:rsid w:val="00C7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CA784-D632-431A-9868-C0A4614B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A9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932A9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32A9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DF8F5F4815DC1B280511BA867EB46B64D20A3831788E9CAFB37323D8EE522448D07AFE290C9275EF477EF13263C548234A151E34DAr6I" TargetMode="External"/><Relationship Id="rId13" Type="http://schemas.openxmlformats.org/officeDocument/2006/relationships/hyperlink" Target="consultantplus://offline/ref=76DF8F5F4815DC1B280511BA867EB46B61D80D3F327F8E9CAFB37323D8EE522448D07AF92C059921B7087FAD743ED64A2D4A171828A7FC55DEr0I" TargetMode="External"/><Relationship Id="rId18" Type="http://schemas.openxmlformats.org/officeDocument/2006/relationships/hyperlink" Target="consultantplus://offline/ref=76DF8F5F4815DC1B280511BA867EB46B64D20A3831788E9CAFB37323D8EE52245AD022F52E0D8721B81D29FC32D6r8I" TargetMode="External"/><Relationship Id="rId3" Type="http://schemas.openxmlformats.org/officeDocument/2006/relationships/webSettings" Target="webSettings.xml"/><Relationship Id="rId7" Type="http://schemas.openxmlformats.org/officeDocument/2006/relationships/hyperlink" Target="consultantplus://offline/ref=76DF8F5F4815DC1B280511BA867EB46B64D50439357F8E9CAFB37323D8EE52245AD022F52E0D8721B81D29FC32D6r8I" TargetMode="External"/><Relationship Id="rId12" Type="http://schemas.openxmlformats.org/officeDocument/2006/relationships/hyperlink" Target="consultantplus://offline/ref=76DF8F5F4815DC1B280511BA867EB46B63D4053C327E8E9CAFB37323D8EE522448D07AF92C059820BB087FAD743ED64A2D4A171828A7FC55DEr0I" TargetMode="External"/><Relationship Id="rId17" Type="http://schemas.openxmlformats.org/officeDocument/2006/relationships/hyperlink" Target="consultantplus://offline/ref=76DF8F5F4815DC1B280511BA867EB46B64D50439357F8E9CAFB37323D8EE52245AD022F52E0D8721B81D29FC32D6r8I" TargetMode="External"/><Relationship Id="rId2" Type="http://schemas.openxmlformats.org/officeDocument/2006/relationships/settings" Target="settings.xml"/><Relationship Id="rId16" Type="http://schemas.openxmlformats.org/officeDocument/2006/relationships/hyperlink" Target="consultantplus://offline/ref=76DF8F5F4815DC1B280511BA867EB46B64D10B393D7D8E9CAFB37323D8EE522448D07AF92C059926B6087FAD743ED64A2D4A171828A7FC55DEr0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DF8F5F4815DC1B280511BA867EB46B64D50439357F8E9CAFB37323D8EE52245AD022F52E0D8721B81D29FC32D6r8I" TargetMode="External"/><Relationship Id="rId11" Type="http://schemas.openxmlformats.org/officeDocument/2006/relationships/hyperlink" Target="consultantplus://offline/ref=76DF8F5F4815DC1B280511BA867EB46B64D50A3A3D738E9CAFB37323D8EE522448D07AF92C059D20BB087FAD743ED64A2D4A171828A7FC55DEr0I" TargetMode="External"/><Relationship Id="rId5" Type="http://schemas.openxmlformats.org/officeDocument/2006/relationships/hyperlink" Target="consultantplus://offline/ref=76DF8F5F4815DC1B280511BA867EB46B64D50439357F8E9CAFB37323D8EE522448D07AFA2E07912AEA526FA93D69D3562552091C36A7DFrFI" TargetMode="External"/><Relationship Id="rId15" Type="http://schemas.openxmlformats.org/officeDocument/2006/relationships/hyperlink" Target="consultantplus://offline/ref=76DF8F5F4815DC1B280511BA867EB46B64D50A3A3D738E9CAFB37323D8EE522448D07AF92C059D20BA087FAD743ED64A2D4A171828A7FC55DEr0I" TargetMode="External"/><Relationship Id="rId10" Type="http://schemas.openxmlformats.org/officeDocument/2006/relationships/hyperlink" Target="consultantplus://offline/ref=76DF8F5F4815DC1B280511BA867EB46B64D50A3A3D738E9CAFB37323D8EE522448D07AFE2D0C9275EF477EF13263C548234A151E34DAr6I"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6DF8F5F4815DC1B280511BA867EB46B64D20A3831788E9CAFB37323D8EE522448D07AFC290D9275EF477EF13263C548234A151E34DAr6I" TargetMode="External"/><Relationship Id="rId14" Type="http://schemas.openxmlformats.org/officeDocument/2006/relationships/hyperlink" Target="consultantplus://offline/ref=76DF8F5F4815DC1B280511BA867EB46B64D5093F33738E9CAFB37323D8EE522448D07AFE29009275EF477EF13263C548234A151E34DAr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1418</Words>
  <Characters>8085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2023-06-28T08:43:00Z</dcterms:created>
  <dcterms:modified xsi:type="dcterms:W3CDTF">2023-06-28T08:43:00Z</dcterms:modified>
</cp:coreProperties>
</file>