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0" w:rsidRDefault="002806C0" w:rsidP="002806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2806C0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при приемке по </w:t>
      </w:r>
      <w:proofErr w:type="spellStart"/>
      <w:r w:rsidRPr="002806C0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госконтракту</w:t>
      </w:r>
      <w:bookmarkEnd w:id="0"/>
      <w:proofErr w:type="spellEnd"/>
      <w:r w:rsidRPr="002806C0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интересные примеры из практики за 2022 - 2023 годы</w:t>
      </w:r>
    </w:p>
    <w:p w:rsidR="002806C0" w:rsidRDefault="002806C0" w:rsidP="002806C0">
      <w:pPr>
        <w:shd w:val="clear" w:color="auto" w:fill="FFFFFF"/>
        <w:spacing w:after="0" w:line="240" w:lineRule="auto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806C0" w:rsidRPr="002806C0" w:rsidRDefault="002806C0" w:rsidP="002806C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806C0">
        <w:rPr>
          <w:rStyle w:val="a3"/>
          <w:rFonts w:ascii="PT Astra Serif" w:hAnsi="PT Astra Serif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Нарушали порядок проведения экспертизы</w:t>
      </w:r>
    </w:p>
    <w:p w:rsidR="002806C0" w:rsidRPr="002806C0" w:rsidRDefault="002806C0" w:rsidP="002806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АС Поволожского округа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5" w:history="1">
        <w:r w:rsidRPr="002806C0">
          <w:rPr>
            <w:rStyle w:val="a5"/>
            <w:rFonts w:ascii="PT Astra Serif" w:eastAsiaTheme="majorEastAsia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выявил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нарушения при экспертизе молока:</w:t>
      </w:r>
    </w:p>
    <w:p w:rsidR="002806C0" w:rsidRPr="002806C0" w:rsidRDefault="002806C0" w:rsidP="002806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заказчик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6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не заключал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контракт с исследовательской организацией;</w:t>
      </w:r>
    </w:p>
    <w:p w:rsidR="002806C0" w:rsidRPr="002806C0" w:rsidRDefault="002806C0" w:rsidP="002806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контрагента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7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не уведомили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об отборе проб.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Выводы эксперта о плохом качестве товара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8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признали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ненадлежащим доказательством, а решение заказчика об отказе от контракта — недействительным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Поволжского округа от 02.11.2023 N Ф06-94</w:t>
      </w:r>
      <w:r>
        <w:rPr>
          <w:rFonts w:ascii="PT Astra Serif" w:hAnsi="PT Astra Serif" w:cs="PT Astra Serif"/>
          <w:sz w:val="28"/>
          <w:szCs w:val="28"/>
        </w:rPr>
        <w:t>51/2023 по делу N А06-7697/2021)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Сходную позицию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9" w:history="1">
        <w:r w:rsidRPr="002806C0">
          <w:rPr>
            <w:rStyle w:val="a5"/>
            <w:rFonts w:ascii="PT Astra Serif" w:eastAsiaTheme="majorEastAsia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поддержал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ВС РФ. Однако в практике есть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0" w:history="1">
        <w:r w:rsidRPr="002806C0">
          <w:rPr>
            <w:rStyle w:val="a5"/>
            <w:rFonts w:ascii="PT Astra Serif" w:eastAsiaTheme="majorEastAsia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пример</w:t>
        </w:r>
      </w:hyperlink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, когда суд принял заключение экспертизы, хотя поставщику о ней не сообщали.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В другом примере Верховный суд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1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согласился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 судами, которые установили нарушения при экспертизе спецодежды. Поставщика не уведомили о ее проведении. Специализация эксперта не соответствовала области исследования. Заказчику не дали взыскать штраф за поставку некачественного товара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Определение Верховного Суда РФ от 19.12.2022 N 306-ЭС22</w:t>
      </w:r>
      <w:r>
        <w:rPr>
          <w:rFonts w:ascii="PT Astra Serif" w:hAnsi="PT Astra Serif" w:cs="PT Astra Serif"/>
          <w:sz w:val="28"/>
          <w:szCs w:val="28"/>
        </w:rPr>
        <w:t>-23798 по делу N А12-28537/2021)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Style w:val="a3"/>
          <w:rFonts w:ascii="PT Astra Serif" w:hAnsi="PT Astra Serif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Неверно определяли условия приемки в проекте контракта</w:t>
      </w:r>
    </w:p>
    <w:p w:rsid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Санкт-Петербургское УФАС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2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поправило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заказчика, который не закрепил в проекте контракта порядок приемки через ЕИС. Это условие было обязательным, поскольку заказчик проводил электронную процедуру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Санкт-Петербургского УФАС России от</w:t>
      </w:r>
      <w:r>
        <w:rPr>
          <w:rFonts w:ascii="PT Astra Serif" w:hAnsi="PT Astra Serif" w:cs="PT Astra Serif"/>
          <w:sz w:val="28"/>
          <w:szCs w:val="28"/>
        </w:rPr>
        <w:t xml:space="preserve"> 31.01.2023 по делу N 44-337/23)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Челябинское УФАС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3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выявило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противоречия в сроках приемки. Заказчик невнимательно оформил проект контракта: общий срок составлял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4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10 рабочих дней</w:t>
        </w:r>
      </w:hyperlink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, но для работы комиссии отвели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5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20 рабочих дней</w:t>
        </w:r>
      </w:hyperlink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Челябинского УФАС России от 10.05.2023 N 07</w:t>
      </w:r>
      <w:r>
        <w:rPr>
          <w:rFonts w:ascii="PT Astra Serif" w:hAnsi="PT Astra Serif" w:cs="PT Astra Serif"/>
          <w:sz w:val="28"/>
          <w:szCs w:val="28"/>
        </w:rPr>
        <w:t>4/06/105-1029/2023(235-ж/2023)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Ставропольское УФАС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6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нашло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ошибки в проекте контракта на поставку с услугами по установке. Порядок приемки определен только для товара, для услуг монтажа не приведен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Ставропольского УФАС России от 02.02.202</w:t>
      </w:r>
      <w:r>
        <w:rPr>
          <w:rFonts w:ascii="PT Astra Serif" w:hAnsi="PT Astra Serif" w:cs="PT Astra Serif"/>
          <w:sz w:val="28"/>
          <w:szCs w:val="28"/>
        </w:rPr>
        <w:t>3 по делу N 026/06/106-169/2023)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2806C0">
        <w:rPr>
          <w:rStyle w:val="a3"/>
          <w:rFonts w:ascii="PT Astra Serif" w:hAnsi="PT Astra Serif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Отказывали в приемке товара из-за отсутствия заявки на поставку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ВС РФ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7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поддержал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суды, которые решили, что заказчик незаконно отказал в приемке товара. Поставку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8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хотели выполнять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по заявкам, но заказчик их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19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не направлял</w:t>
        </w:r>
      </w:hyperlink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, а позже отказался принимать продукцию. В его действиях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0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увидели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односторонний отказ от сделки и взыскали убытки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Определение Верховного Суда РФ от 28.09.2023 N 309-ЭС22-12785 по делу N А71-3818/202</w:t>
      </w:r>
      <w:r>
        <w:rPr>
          <w:rFonts w:ascii="PT Astra Serif" w:hAnsi="PT Astra Serif" w:cs="PT Astra Serif"/>
          <w:sz w:val="28"/>
          <w:szCs w:val="28"/>
        </w:rPr>
        <w:t>1)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АС Московского округа в сходной ситуации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1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взыскал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с заказчика оплату за остатки продукции. Довод об отсутствии потребности во всей партии товара отклонили. Выводы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2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поддержал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ВС РФ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r>
        <w:rPr>
          <w:rFonts w:ascii="PT Astra Serif" w:hAnsi="PT Astra Serif" w:cs="PT Astra Serif"/>
          <w:sz w:val="28"/>
          <w:szCs w:val="28"/>
        </w:rPr>
        <w:lastRenderedPageBreak/>
        <w:t>Московского округа от 18.04.2022 N Ф05-13632/2020 по делу N А41-6529/2020</w:t>
      </w:r>
      <w:r>
        <w:rPr>
          <w:rFonts w:ascii="PT Astra Serif" w:hAnsi="PT Astra Serif" w:cs="PT Astra Serif"/>
          <w:sz w:val="28"/>
          <w:szCs w:val="28"/>
        </w:rPr>
        <w:t>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2806C0" w:rsidRPr="002806C0" w:rsidRDefault="002806C0" w:rsidP="0028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 xml:space="preserve">АС </w:t>
      </w:r>
      <w:proofErr w:type="gramStart"/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Западно-Сибирского</w:t>
      </w:r>
      <w:proofErr w:type="gramEnd"/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 xml:space="preserve"> округа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3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занял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иную позицию: контракт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4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не обязывал</w:t>
        </w:r>
      </w:hyperlink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заказчика принимать товар, который он не заказывал. Весь объем не выбрали, поскольку потребность в нем отпала. ВС РФ с этим</w:t>
      </w:r>
      <w:r w:rsidRPr="002806C0">
        <w:rPr>
          <w:rStyle w:val="apple-converted-space"/>
          <w:rFonts w:ascii="PT Astra Serif" w:hAnsi="PT Astra Serif" w:cs="Arial"/>
          <w:color w:val="000000" w:themeColor="text1"/>
          <w:sz w:val="28"/>
          <w:szCs w:val="28"/>
        </w:rPr>
        <w:t> </w:t>
      </w:r>
      <w:hyperlink r:id="rId25" w:history="1">
        <w:r w:rsidRPr="002806C0">
          <w:rPr>
            <w:rStyle w:val="a5"/>
            <w:rFonts w:ascii="PT Astra Serif" w:hAnsi="PT Astra Serif" w:cs="Arial"/>
            <w:color w:val="000000" w:themeColor="text1"/>
            <w:sz w:val="28"/>
            <w:szCs w:val="28"/>
            <w:bdr w:val="none" w:sz="0" w:space="0" w:color="auto" w:frame="1"/>
          </w:rPr>
          <w:t>согласился</w:t>
        </w:r>
      </w:hyperlink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proofErr w:type="gramStart"/>
      <w:r>
        <w:rPr>
          <w:rFonts w:ascii="PT Astra Serif" w:hAnsi="PT Astra Serif" w:cs="PT Astra Serif"/>
          <w:sz w:val="28"/>
          <w:szCs w:val="28"/>
        </w:rPr>
        <w:t>Западно-Сибирского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округа от 13.12.2022 N Ф04-60</w:t>
      </w:r>
      <w:r>
        <w:rPr>
          <w:rFonts w:ascii="PT Astra Serif" w:hAnsi="PT Astra Serif" w:cs="PT Astra Serif"/>
          <w:sz w:val="28"/>
          <w:szCs w:val="28"/>
        </w:rPr>
        <w:t>52/2022 по делу N А03-1943/2022)</w:t>
      </w:r>
      <w:r w:rsidRPr="002806C0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8D15C7" w:rsidRPr="002806C0" w:rsidRDefault="008D15C7" w:rsidP="002806C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8D15C7" w:rsidRPr="0028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FC7"/>
    <w:multiLevelType w:val="multilevel"/>
    <w:tmpl w:val="8EA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6003F"/>
    <w:multiLevelType w:val="hybridMultilevel"/>
    <w:tmpl w:val="878E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0"/>
    <w:rsid w:val="002806C0"/>
    <w:rsid w:val="008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3231-E150-48A3-9EDE-E9FCB93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2806C0"/>
  </w:style>
  <w:style w:type="character" w:customStyle="1" w:styleId="tags-newstext">
    <w:name w:val="tags-news__text"/>
    <w:basedOn w:val="a0"/>
    <w:rsid w:val="002806C0"/>
  </w:style>
  <w:style w:type="character" w:customStyle="1" w:styleId="apple-converted-space">
    <w:name w:val="apple-converted-space"/>
    <w:basedOn w:val="a0"/>
    <w:rsid w:val="002806C0"/>
  </w:style>
  <w:style w:type="character" w:customStyle="1" w:styleId="20">
    <w:name w:val="Заголовок 2 Знак"/>
    <w:basedOn w:val="a0"/>
    <w:link w:val="2"/>
    <w:uiPriority w:val="9"/>
    <w:semiHidden/>
    <w:rsid w:val="00280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2806C0"/>
    <w:rPr>
      <w:b/>
      <w:bCs/>
    </w:rPr>
  </w:style>
  <w:style w:type="paragraph" w:styleId="a4">
    <w:name w:val="Normal (Web)"/>
    <w:basedOn w:val="a"/>
    <w:uiPriority w:val="99"/>
    <w:unhideWhenUsed/>
    <w:rsid w:val="0028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06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apv;n=225897;dst=100057" TargetMode="External"/><Relationship Id="rId13" Type="http://schemas.openxmlformats.org/officeDocument/2006/relationships/hyperlink" Target="consultantplus://offline/main?base=pas;n=871335;dst=100096" TargetMode="External"/><Relationship Id="rId18" Type="http://schemas.openxmlformats.org/officeDocument/2006/relationships/hyperlink" Target="consultantplus://offline/main?base=aur;n=254008;dst=1000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ams;n=424147;dst=100057" TargetMode="External"/><Relationship Id="rId7" Type="http://schemas.openxmlformats.org/officeDocument/2006/relationships/hyperlink" Target="consultantplus://offline/main?base=apv;n=225897;dst=100056" TargetMode="External"/><Relationship Id="rId12" Type="http://schemas.openxmlformats.org/officeDocument/2006/relationships/hyperlink" Target="consultantplus://offline/main?base=pas;n=851282;dst=100039" TargetMode="External"/><Relationship Id="rId17" Type="http://schemas.openxmlformats.org/officeDocument/2006/relationships/hyperlink" Target="consultantplus://offline/main?base=arb;n=781169;dst=100006" TargetMode="External"/><Relationship Id="rId25" Type="http://schemas.openxmlformats.org/officeDocument/2006/relationships/hyperlink" Target="consultantplus://offline/main?base=arb;n=755854;dst=10000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851643;dst=100063" TargetMode="External"/><Relationship Id="rId20" Type="http://schemas.openxmlformats.org/officeDocument/2006/relationships/hyperlink" Target="consultantplus://offline/main?base=aur;n=254008;dst=10005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apv;n=225897;dst=100054" TargetMode="External"/><Relationship Id="rId11" Type="http://schemas.openxmlformats.org/officeDocument/2006/relationships/hyperlink" Target="consultantplus://offline/main?base=arb;n=752854;dst=100006" TargetMode="External"/><Relationship Id="rId24" Type="http://schemas.openxmlformats.org/officeDocument/2006/relationships/hyperlink" Target="consultantplus://offline/main?base=azs;n=192593;dst=100031" TargetMode="External"/><Relationship Id="rId5" Type="http://schemas.openxmlformats.org/officeDocument/2006/relationships/hyperlink" Target="consultantplus://offline/main?base=apv;n=225897;dst=100057" TargetMode="External"/><Relationship Id="rId15" Type="http://schemas.openxmlformats.org/officeDocument/2006/relationships/hyperlink" Target="consultantplus://offline/main?base=pas;n=871335;dst=100091" TargetMode="External"/><Relationship Id="rId23" Type="http://schemas.openxmlformats.org/officeDocument/2006/relationships/hyperlink" Target="consultantplus://offline/main?base=azs;n=192593;dst=100042" TargetMode="External"/><Relationship Id="rId10" Type="http://schemas.openxmlformats.org/officeDocument/2006/relationships/hyperlink" Target="consultantplus://offline/main?base=raps007;n=184163;dst=100126" TargetMode="External"/><Relationship Id="rId19" Type="http://schemas.openxmlformats.org/officeDocument/2006/relationships/hyperlink" Target="consultantplus://offline/main?base=aur;n=254008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arb;n=741770;dst=100005" TargetMode="External"/><Relationship Id="rId14" Type="http://schemas.openxmlformats.org/officeDocument/2006/relationships/hyperlink" Target="consultantplus://offline/main?base=pas;n=871335;dst=100086" TargetMode="External"/><Relationship Id="rId22" Type="http://schemas.openxmlformats.org/officeDocument/2006/relationships/hyperlink" Target="consultantplus://offline/main?base=arb;n=763619;dst=1000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2023-12-11T10:26:00Z</dcterms:created>
  <dcterms:modified xsi:type="dcterms:W3CDTF">2023-12-11T10:35:00Z</dcterms:modified>
</cp:coreProperties>
</file>