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17" w:rsidRPr="00530B17" w:rsidRDefault="00530B17" w:rsidP="00530B17">
      <w:pPr>
        <w:shd w:val="clear" w:color="auto" w:fill="FFFFFF"/>
        <w:spacing w:after="255" w:line="240" w:lineRule="auto"/>
        <w:jc w:val="center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  <w:t>Письмо Минфина России от 24 ноября 2023 г. № 24-06-09/113123 “О рассмотрении обращения”</w:t>
      </w:r>
    </w:p>
    <w:p w:rsidR="00530B17" w:rsidRPr="00530B17" w:rsidRDefault="00530B17" w:rsidP="00530B17">
      <w:pPr>
        <w:shd w:val="clear" w:color="auto" w:fill="FFFFFF"/>
        <w:spacing w:line="240" w:lineRule="auto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7 декабря 2023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bookmarkStart w:id="0" w:name="0"/>
      <w:bookmarkEnd w:id="0"/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по вопросу применения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N 2604</w:t>
      </w:r>
      <w:hyperlink r:id="rId4" w:anchor="1111" w:history="1">
        <w:r w:rsidRPr="00530B17">
          <w:rPr>
            <w:rFonts w:ascii="PT Astra Serif" w:eastAsia="Times New Roman" w:hAnsi="PT Astra Serif" w:cs="Arial"/>
            <w:color w:val="000000" w:themeColor="text1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(далее - Поло</w:t>
      </w:r>
      <w:bookmarkStart w:id="1" w:name="_GoBack"/>
      <w:bookmarkEnd w:id="1"/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жение), сообщает следующее.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Положениями пунктов 11</w:t>
      </w: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vertAlign w:val="superscript"/>
          <w:lang w:eastAsia="ru-RU"/>
        </w:rPr>
        <w:t>8</w:t>
      </w: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12</w:t>
      </w: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 Регламента Министерства финансов Российской Федерации, утвержденного приказом Минфина России от 14.09.2018 N 194н, предусмотрено, что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</w:t>
      </w:r>
      <w:proofErr w:type="gramStart"/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обращения</w:t>
      </w:r>
      <w:proofErr w:type="gramEnd"/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по оценке конкретных хозяйственных ситуаций.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Вместе с тем в рамках установленной компетенции Департамент полагает возможным отметить следующее.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соответствии с подпунктом "д" пункта 28 Положения в случае применения показателя оценки, предусмотренного подпунктом "в" пункта 24 Положения, 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N 44-ФЗ.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Таким образом, в целях оценки заявок участников закупки по показателю оценки "наличие у участников закупки опыта поставки товара, выполнения работы, оказания услуги, связанного с предметом контракта" к оценке принимаются исполненные участником закупки с учетом правопреемства любые гражданско-правовые договоры, в том числе заключенные и исполненные в соответствии с Законом N 44-ФЗ.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Подпунктом "г" пункта 28 Положения установлено, что в случае применения показателя оценки, предусмотренного подпунктом "в" пункта 24 Положения, последний акт, составленный при исполнении договора и предусмотренный абзацем третьим подпункта "в" пункта 28 Положения, должен быть подписан не ранее чем за 5 лет до даты окончания срока подачи заявок.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При этом по общему правилу последний акт, составленный при исполнении договора и подписанный не ранее чем за 5 лет до даты окончания срока подачи заявок, позволяет учитывать опыт исполнения участником закупки договора, исполненного в любой срок за указанный период.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Указанные положения предусматривают возможность принятия к оценке в том числе долгосрочных контрактов (договоров), исполнение которых успешно завершено за последние 5 лет, обеспечивая при этом достижение предусмотренного ими результата, что соответствует целям оценки квалификации участника закупки.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Департамент отмечает, что комиссия по осуществлению закупок самостоятельно принимает решение о соответствии заявки критериям оценки.</w:t>
      </w: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6363"/>
      </w:tblGrid>
      <w:tr w:rsidR="00530B17" w:rsidRPr="00530B17" w:rsidTr="00530B17">
        <w:tc>
          <w:tcPr>
            <w:tcW w:w="1600" w:type="pct"/>
            <w:hideMark/>
          </w:tcPr>
          <w:p w:rsidR="00530B17" w:rsidRPr="00530B17" w:rsidRDefault="00530B17" w:rsidP="00530B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0B1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0B1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br/>
              <w:t>директора Департамента</w:t>
            </w:r>
          </w:p>
        </w:tc>
        <w:tc>
          <w:tcPr>
            <w:tcW w:w="3400" w:type="pct"/>
            <w:hideMark/>
          </w:tcPr>
          <w:p w:rsidR="00530B17" w:rsidRPr="00530B17" w:rsidRDefault="00530B17" w:rsidP="00530B1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530B1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Н.В. </w:t>
            </w:r>
            <w:proofErr w:type="spellStart"/>
            <w:r w:rsidRPr="00530B17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Конкина</w:t>
            </w:r>
            <w:proofErr w:type="spellEnd"/>
          </w:p>
        </w:tc>
      </w:tr>
    </w:tbl>
    <w:p w:rsidR="00530B17" w:rsidRPr="00530B17" w:rsidRDefault="00530B17" w:rsidP="00530B17">
      <w:pPr>
        <w:shd w:val="clear" w:color="auto" w:fill="FFFFFF"/>
        <w:spacing w:after="255" w:line="240" w:lineRule="auto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------------------------------</w:t>
      </w:r>
    </w:p>
    <w:p w:rsidR="00530B17" w:rsidRPr="00530B17" w:rsidRDefault="00530B17" w:rsidP="00530B17">
      <w:pPr>
        <w:shd w:val="clear" w:color="auto" w:fill="FFFFFF"/>
        <w:spacing w:after="255" w:line="240" w:lineRule="auto"/>
        <w:jc w:val="both"/>
        <w:rPr>
          <w:rFonts w:ascii="PT Astra Serif" w:eastAsia="Times New Roman" w:hAnsi="PT Astra Serif" w:cs="Arial"/>
          <w:color w:val="000000" w:themeColor="text1"/>
          <w:sz w:val="20"/>
          <w:szCs w:val="20"/>
          <w:lang w:eastAsia="ru-RU"/>
        </w:rPr>
      </w:pPr>
      <w:r w:rsidRPr="00530B17">
        <w:rPr>
          <w:rFonts w:ascii="PT Astra Serif" w:eastAsia="Times New Roman" w:hAnsi="PT Astra Serif" w:cs="Arial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530B17">
        <w:rPr>
          <w:rFonts w:ascii="PT Astra Serif" w:eastAsia="Times New Roman" w:hAnsi="PT Astra Serif" w:cs="Arial"/>
          <w:color w:val="000000" w:themeColor="text1"/>
          <w:sz w:val="20"/>
          <w:szCs w:val="20"/>
          <w:lang w:eastAsia="ru-RU"/>
        </w:rPr>
        <w:t> Постановление Правительства Российской Федерации от 31.12.2021 N 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N 2369 и признании утратившими силу некоторых актов и отдельных положений некоторых актов Правительства Российской Федерации".</w:t>
      </w:r>
    </w:p>
    <w:p w:rsidR="00113769" w:rsidRPr="00530B17" w:rsidRDefault="00113769" w:rsidP="00530B17">
      <w:pPr>
        <w:spacing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sectPr w:rsidR="00113769" w:rsidRPr="0053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17"/>
    <w:rsid w:val="00113769"/>
    <w:rsid w:val="005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65EE-6F24-4349-A23D-56D886A5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80094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2023-12-08T12:35:00Z</dcterms:created>
  <dcterms:modified xsi:type="dcterms:W3CDTF">2023-12-08T12:36:00Z</dcterms:modified>
</cp:coreProperties>
</file>